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7FDC" w14:textId="34F82C27" w:rsidR="002332A2" w:rsidRPr="00F13A0A" w:rsidRDefault="00FD6008" w:rsidP="007E5E2A">
      <w:pPr>
        <w:pStyle w:val="Heading4"/>
        <w:spacing w:line="360" w:lineRule="auto"/>
      </w:pPr>
      <w:r>
        <w:t xml:space="preserve">Method S1: </w:t>
      </w:r>
      <w:bookmarkStart w:id="0" w:name="_Hlk136606821"/>
      <w:r w:rsidR="002332A2" w:rsidRPr="00F13A0A">
        <w:t>Recruitment and assessment of participants</w:t>
      </w:r>
    </w:p>
    <w:bookmarkEnd w:id="0"/>
    <w:p w14:paraId="735A640A" w14:textId="4B3ED258" w:rsidR="00B66FDD" w:rsidRPr="00F13A0A" w:rsidRDefault="002332A2" w:rsidP="007E5E2A">
      <w:pPr>
        <w:autoSpaceDE w:val="0"/>
        <w:autoSpaceDN w:val="0"/>
        <w:adjustRightInd w:val="0"/>
        <w:spacing w:after="0"/>
        <w:rPr>
          <w:rFonts w:ascii="Times New Roman" w:hAnsi="Times New Roman"/>
          <w:sz w:val="24"/>
          <w:szCs w:val="24"/>
        </w:rPr>
      </w:pPr>
      <w:r w:rsidRPr="00F13A0A">
        <w:rPr>
          <w:rFonts w:ascii="Times New Roman" w:hAnsi="Times New Roman"/>
          <w:sz w:val="24"/>
          <w:szCs w:val="24"/>
        </w:rPr>
        <w:t xml:space="preserve">This study was approved by the ethics committees of both </w:t>
      </w:r>
      <w:proofErr w:type="spellStart"/>
      <w:r w:rsidRPr="00F13A0A">
        <w:rPr>
          <w:rFonts w:ascii="Times New Roman" w:hAnsi="Times New Roman"/>
          <w:sz w:val="24"/>
          <w:szCs w:val="24"/>
        </w:rPr>
        <w:t>Universiti</w:t>
      </w:r>
      <w:proofErr w:type="spellEnd"/>
      <w:r w:rsidRPr="00F13A0A">
        <w:rPr>
          <w:rFonts w:ascii="Times New Roman" w:hAnsi="Times New Roman"/>
          <w:sz w:val="24"/>
          <w:szCs w:val="24"/>
        </w:rPr>
        <w:t xml:space="preserve"> </w:t>
      </w:r>
      <w:proofErr w:type="spellStart"/>
      <w:r w:rsidRPr="00F13A0A">
        <w:rPr>
          <w:rFonts w:ascii="Times New Roman" w:hAnsi="Times New Roman"/>
          <w:sz w:val="24"/>
          <w:szCs w:val="24"/>
        </w:rPr>
        <w:t>Teknologi</w:t>
      </w:r>
      <w:proofErr w:type="spellEnd"/>
      <w:r w:rsidRPr="00F13A0A">
        <w:rPr>
          <w:rFonts w:ascii="Times New Roman" w:hAnsi="Times New Roman"/>
          <w:sz w:val="24"/>
          <w:szCs w:val="24"/>
        </w:rPr>
        <w:t xml:space="preserve"> MARA (UiTM) [reference no: 600-RMI (5/1/6/01)] and the University of Malaya Medical Centre (UMMC) (reference no: PPUM HU-61/12/1-1). The present experimental design was in accordance with principles and guidelines stipulated by the Declaration of Helsinki, World Medical Association </w:t>
      </w:r>
      <w:r w:rsidRPr="00F13A0A">
        <w:rPr>
          <w:rFonts w:ascii="Times New Roman" w:hAnsi="Times New Roman"/>
          <w:sz w:val="24"/>
          <w:szCs w:val="24"/>
        </w:rPr>
        <w:fldChar w:fldCharType="begin"/>
      </w:r>
      <w:r w:rsidR="00540747" w:rsidRPr="00F13A0A">
        <w:rPr>
          <w:rFonts w:ascii="Times New Roman" w:hAnsi="Times New Roman"/>
          <w:sz w:val="24"/>
          <w:szCs w:val="24"/>
        </w:rPr>
        <w:instrText xml:space="preserve"> ADDIN EN.CITE &lt;EndNote&gt;&lt;Cite&gt;&lt;Author&gt;Carlson&lt;/Author&gt;&lt;Year&gt;2004&lt;/Year&gt;&lt;RecNum&gt;2&lt;/RecNum&gt;&lt;DisplayText&gt;(Carlson, Boyd, and Webb 2004)&lt;/DisplayText&gt;&lt;record&gt;&lt;rec-number&gt;2&lt;/rec-number&gt;&lt;foreign-keys&gt;&lt;key app="EN" db-id="xfp9zxr0052950ep90vpp25lxwrpx0wtswvw" timestamp="1653029951"&gt;2&lt;/key&gt;&lt;/foreign-keys&gt;&lt;ref-type name="Journal Article"&gt;17&lt;/ref-type&gt;&lt;contributors&gt;&lt;authors&gt;&lt;author&gt;Carlson, Robert V&lt;/author&gt;&lt;author&gt;Boyd, Kenneth M&lt;/author&gt;&lt;author&gt;Webb, David J &lt;/author&gt;&lt;/authors&gt;&lt;/contributors&gt;&lt;titles&gt;&lt;title&gt;The revision of the Declaration of Helsinki: past, present and future.&lt;/title&gt;&lt;secondary-title&gt;Br J Clin Pharmacol&lt;/secondary-title&gt;&lt;/titles&gt;&lt;periodical&gt;&lt;full-title&gt;Br J Clin Pharmacol&lt;/full-title&gt;&lt;/periodical&gt;&lt;pages&gt;695–713&lt;/pages&gt;&lt;volume&gt;57&lt;/volume&gt;&lt;number&gt;6&lt;/number&gt;&lt;dates&gt;&lt;year&gt;2004&lt;/year&gt;&lt;/dates&gt;&lt;urls&gt;&lt;/urls&gt;&lt;electronic-resource-num&gt;https://doi.org/10.1111/j.1365-2125.2004.02103.x&lt;/electronic-resource-num&gt;&lt;/record&gt;&lt;/Cite&gt;&lt;/EndNote&gt;</w:instrText>
      </w:r>
      <w:r w:rsidRPr="00F13A0A">
        <w:rPr>
          <w:rFonts w:ascii="Times New Roman" w:hAnsi="Times New Roman"/>
          <w:sz w:val="24"/>
          <w:szCs w:val="24"/>
        </w:rPr>
        <w:fldChar w:fldCharType="separate"/>
      </w:r>
      <w:r w:rsidR="00540747" w:rsidRPr="00F13A0A">
        <w:rPr>
          <w:rFonts w:ascii="Times New Roman" w:hAnsi="Times New Roman"/>
          <w:noProof/>
          <w:sz w:val="24"/>
          <w:szCs w:val="24"/>
        </w:rPr>
        <w:t>(Carlson, Boyd, and Webb 2004)</w:t>
      </w:r>
      <w:r w:rsidRPr="00F13A0A">
        <w:rPr>
          <w:rFonts w:ascii="Times New Roman" w:hAnsi="Times New Roman"/>
          <w:sz w:val="24"/>
          <w:szCs w:val="24"/>
        </w:rPr>
        <w:fldChar w:fldCharType="end"/>
      </w:r>
      <w:r w:rsidRPr="00F13A0A">
        <w:rPr>
          <w:rFonts w:ascii="Times New Roman" w:hAnsi="Times New Roman"/>
          <w:sz w:val="24"/>
          <w:szCs w:val="24"/>
        </w:rPr>
        <w:t xml:space="preserve">. A written informed consent was obtained from either each patient or legal representative prior to blood collection. </w:t>
      </w:r>
      <w:r w:rsidRPr="00F13A0A">
        <w:rPr>
          <w:rFonts w:ascii="Times New Roman" w:eastAsiaTheme="minorEastAsia" w:hAnsi="Times New Roman"/>
          <w:sz w:val="24"/>
          <w:szCs w:val="24"/>
        </w:rPr>
        <w:t xml:space="preserve">Recruitment and assessment procedures were conducted as described in detail by </w:t>
      </w:r>
      <w:r w:rsidRPr="00F13A0A">
        <w:rPr>
          <w:rFonts w:ascii="Times New Roman" w:eastAsiaTheme="minorEastAsia" w:hAnsi="Times New Roman"/>
          <w:sz w:val="24"/>
          <w:szCs w:val="24"/>
        </w:rPr>
        <w:fldChar w:fldCharType="begin"/>
      </w:r>
      <w:r w:rsidR="00540747" w:rsidRPr="00F13A0A">
        <w:rPr>
          <w:rFonts w:ascii="Times New Roman" w:eastAsiaTheme="minorEastAsia" w:hAnsi="Times New Roman"/>
          <w:sz w:val="24"/>
          <w:szCs w:val="24"/>
        </w:rPr>
        <w:instrText xml:space="preserve"> ADDIN EN.CITE &lt;EndNote&gt;&lt;Cite AuthorYear="1"&gt;&lt;Author&gt;Mohd Hasni&lt;/Author&gt;&lt;Year&gt;2017&lt;/Year&gt;&lt;RecNum&gt;38&lt;/RecNum&gt;&lt;DisplayText&gt;Mohd Hasni et al. (2017)&lt;/DisplayText&gt;&lt;record&gt;&lt;rec-number&gt;38&lt;/rec-number&gt;&lt;foreign-keys&gt;&lt;key app="EN" db-id="xfp9zxr0052950ep90vpp25lxwrpx0wtswvw" timestamp="1653220453"&gt;38&lt;/key&gt;&lt;/foreign-keys&gt;&lt;ref-type name="Journal Article"&gt;17&lt;/ref-type&gt;&lt;contributors&gt;&lt;authors&gt;&lt;author&gt;Mohd Hasni, Dayana Sazereen&lt;/author&gt;&lt;author&gt;Lim, Siong Meng&lt;/author&gt;&lt;author&gt;Chin, Ai Vyrn&lt;/author&gt;&lt;author&gt;Tan, Maw Pin&lt;/author&gt;&lt;author&gt;Poi, Philip Jun Hua&lt;/author&gt;&lt;author&gt;Kamaruzzaman, Shahrul Bahyah&lt;/author&gt;&lt;author&gt;Abdul Majeed, Abu Bakar&lt;/author&gt;&lt;author&gt;Ramasamy, Kalavathy&lt;/author&gt;&lt;/authors&gt;&lt;/contributors&gt;&lt;titles&gt;&lt;title&gt;Peripheral cytokines, C-X-C motif ligand10 and interleukin-13, are associated with Malaysian Alzheimer&amp;apos;s disease.&lt;/title&gt;&lt;secondary-title&gt;Geriatr Gerontol Int&lt;/secondary-title&gt;&lt;/titles&gt;&lt;periodical&gt;&lt;full-title&gt;Geriatr Gerontol Int&lt;/full-title&gt;&lt;/periodical&gt;&lt;pages&gt;839-846&lt;/pages&gt;&lt;volume&gt;17&lt;/volume&gt;&lt;number&gt;5&lt;/number&gt;&lt;dates&gt;&lt;year&gt;2017&lt;/year&gt;&lt;/dates&gt;&lt;urls&gt;&lt;/urls&gt;&lt;electronic-resource-num&gt;https://doi.org/10.1111/ggi.12783&lt;/electronic-resource-num&gt;&lt;/record&gt;&lt;/Cite&gt;&lt;/EndNote&gt;</w:instrText>
      </w:r>
      <w:r w:rsidRPr="00F13A0A">
        <w:rPr>
          <w:rFonts w:ascii="Times New Roman" w:eastAsiaTheme="minorEastAsia" w:hAnsi="Times New Roman"/>
          <w:sz w:val="24"/>
          <w:szCs w:val="24"/>
        </w:rPr>
        <w:fldChar w:fldCharType="separate"/>
      </w:r>
      <w:r w:rsidR="00540747" w:rsidRPr="00F13A0A">
        <w:rPr>
          <w:rFonts w:ascii="Times New Roman" w:eastAsiaTheme="minorEastAsia" w:hAnsi="Times New Roman"/>
          <w:noProof/>
          <w:sz w:val="24"/>
          <w:szCs w:val="24"/>
        </w:rPr>
        <w:t>Mohd Hasni et al. (2017)</w:t>
      </w:r>
      <w:r w:rsidRPr="00F13A0A">
        <w:rPr>
          <w:rFonts w:ascii="Times New Roman" w:eastAsiaTheme="minorEastAsia" w:hAnsi="Times New Roman"/>
          <w:sz w:val="24"/>
          <w:szCs w:val="24"/>
        </w:rPr>
        <w:fldChar w:fldCharType="end"/>
      </w:r>
      <w:r w:rsidRPr="00F13A0A">
        <w:rPr>
          <w:rFonts w:ascii="Times New Roman" w:eastAsiaTheme="minorEastAsia" w:hAnsi="Times New Roman"/>
          <w:sz w:val="24"/>
          <w:szCs w:val="24"/>
        </w:rPr>
        <w:t xml:space="preserve"> and </w:t>
      </w:r>
      <w:r w:rsidRPr="00F13A0A">
        <w:rPr>
          <w:rFonts w:ascii="Times New Roman" w:eastAsiaTheme="minorEastAsia" w:hAnsi="Times New Roman"/>
          <w:sz w:val="24"/>
          <w:szCs w:val="24"/>
        </w:rPr>
        <w:fldChar w:fldCharType="begin"/>
      </w:r>
      <w:r w:rsidR="00540747" w:rsidRPr="00F13A0A">
        <w:rPr>
          <w:rFonts w:ascii="Times New Roman" w:eastAsiaTheme="minorEastAsia" w:hAnsi="Times New Roman"/>
          <w:sz w:val="24"/>
          <w:szCs w:val="24"/>
        </w:rPr>
        <w:instrText xml:space="preserve"> ADDIN EN.CITE &lt;EndNote&gt;&lt;Cite AuthorYear="1"&gt;&lt;Author&gt;Rehiman&lt;/Author&gt;&lt;Year&gt;2020&lt;/Year&gt;&lt;RecNum&gt;37&lt;/RecNum&gt;&lt;DisplayText&gt;Rehiman et al. (2020)&lt;/DisplayText&gt;&lt;record&gt;&lt;rec-number&gt;37&lt;/rec-number&gt;&lt;foreign-keys&gt;&lt;key app="EN" db-id="xfp9zxr0052950ep90vpp25lxwrpx0wtswvw" timestamp="1653220271"&gt;37&lt;/key&gt;&lt;/foreign-keys&gt;&lt;ref-type name="Journal Article"&gt;17&lt;/ref-type&gt;&lt;contributors&gt;&lt;authors&gt;&lt;author&gt;Rehiman, Siti Hajar&lt;/author&gt;&lt;author&gt;Lim, Siong Meng&lt;/author&gt;&lt;author&gt;Lim, Fei Tieng&lt;/author&gt;&lt;author&gt;Chin, Ai-Vyrn&lt;/author&gt;&lt;author&gt;Tan, Maw Pin&lt;/author&gt;&lt;author&gt;Kamaruzzaman, Shahrul Bahyah&lt;/author&gt;&lt;author&gt;Ramasamy, Kalavathy&lt;/author&gt;&lt;author&gt;Abdul Majeed, Abu Bakar &lt;/author&gt;&lt;/authors&gt;&lt;/contributors&gt;&lt;titles&gt;&lt;title&gt;Fibrinogen isoforms as potential blood-based biomarkers of Alzheimer&amp;apos;s disease using a proteomics approach.&lt;/title&gt;&lt;secondary-title&gt;Int J Neurosci&lt;/secondary-title&gt;&lt;/titles&gt;&lt;periodical&gt;&lt;full-title&gt;Int J Neurosci&lt;/full-title&gt;&lt;/periodical&gt;&lt;pages&gt;https://doi.org/10.1080/00207454.2020.1860038&lt;/pages&gt;&lt;dates&gt;&lt;year&gt;2020&lt;/year&gt;&lt;/dates&gt;&lt;urls&gt;&lt;/urls&gt;&lt;/record&gt;&lt;/Cite&gt;&lt;/EndNote&gt;</w:instrText>
      </w:r>
      <w:r w:rsidRPr="00F13A0A">
        <w:rPr>
          <w:rFonts w:ascii="Times New Roman" w:eastAsiaTheme="minorEastAsia" w:hAnsi="Times New Roman"/>
          <w:sz w:val="24"/>
          <w:szCs w:val="24"/>
        </w:rPr>
        <w:fldChar w:fldCharType="separate"/>
      </w:r>
      <w:r w:rsidR="00540747" w:rsidRPr="00F13A0A">
        <w:rPr>
          <w:rFonts w:ascii="Times New Roman" w:eastAsiaTheme="minorEastAsia" w:hAnsi="Times New Roman"/>
          <w:noProof/>
          <w:sz w:val="24"/>
          <w:szCs w:val="24"/>
        </w:rPr>
        <w:t>Rehiman et al. (2020)</w:t>
      </w:r>
      <w:r w:rsidRPr="00F13A0A">
        <w:rPr>
          <w:rFonts w:ascii="Times New Roman" w:eastAsiaTheme="minorEastAsia" w:hAnsi="Times New Roman"/>
          <w:sz w:val="24"/>
          <w:szCs w:val="24"/>
        </w:rPr>
        <w:fldChar w:fldCharType="end"/>
      </w:r>
      <w:r w:rsidRPr="00F13A0A">
        <w:rPr>
          <w:rFonts w:ascii="Times New Roman" w:eastAsiaTheme="minorEastAsia" w:hAnsi="Times New Roman"/>
          <w:sz w:val="24"/>
          <w:szCs w:val="24"/>
        </w:rPr>
        <w:t xml:space="preserve">. Basically, </w:t>
      </w:r>
      <w:r w:rsidRPr="00F13A0A">
        <w:rPr>
          <w:rFonts w:ascii="Times New Roman" w:hAnsi="Times New Roman"/>
          <w:sz w:val="24"/>
          <w:szCs w:val="24"/>
        </w:rPr>
        <w:t xml:space="preserve">participants over the age of 65, who had been diagnosed with any one of these conditions; probable AD, </w:t>
      </w:r>
      <w:proofErr w:type="spellStart"/>
      <w:r w:rsidRPr="00F13A0A">
        <w:rPr>
          <w:rFonts w:ascii="Times New Roman" w:hAnsi="Times New Roman"/>
          <w:sz w:val="24"/>
          <w:szCs w:val="24"/>
        </w:rPr>
        <w:t>VaD</w:t>
      </w:r>
      <w:proofErr w:type="spellEnd"/>
      <w:r w:rsidRPr="00F13A0A">
        <w:rPr>
          <w:rFonts w:ascii="Times New Roman" w:hAnsi="Times New Roman"/>
          <w:sz w:val="24"/>
          <w:szCs w:val="24"/>
        </w:rPr>
        <w:t xml:space="preserve"> or MCI, were recruited from the UMMC Memory Clinic.</w:t>
      </w:r>
      <w:r w:rsidRPr="00F13A0A">
        <w:rPr>
          <w:rFonts w:ascii="Times New Roman" w:eastAsiaTheme="minorEastAsia" w:hAnsi="Times New Roman"/>
          <w:sz w:val="24"/>
          <w:szCs w:val="24"/>
        </w:rPr>
        <w:t xml:space="preserve"> </w:t>
      </w:r>
      <w:r w:rsidRPr="00F13A0A">
        <w:rPr>
          <w:rFonts w:ascii="Times New Roman" w:hAnsi="Times New Roman"/>
          <w:sz w:val="24"/>
          <w:szCs w:val="24"/>
        </w:rPr>
        <w:t xml:space="preserve">Those who were chronic, heavy smokers and/ or alcoholic and/ or presented with signiﬁcant unstable systemic illness or organ failure were excluded. Individuals with signiﬁcant neurological or psychiatric illness other than AD, Mini-Mental State Examination (MMSE) score </w:t>
      </w:r>
      <w:r w:rsidRPr="00F13A0A">
        <w:rPr>
          <w:rFonts w:ascii="Times New Roman" w:hAnsi="Times New Roman"/>
          <w:sz w:val="24"/>
          <w:szCs w:val="24"/>
          <w:u w:val="single"/>
        </w:rPr>
        <w:t>&gt;</w:t>
      </w:r>
      <w:r w:rsidRPr="00F13A0A">
        <w:rPr>
          <w:rFonts w:ascii="Times New Roman" w:hAnsi="Times New Roman"/>
          <w:sz w:val="24"/>
          <w:szCs w:val="24"/>
        </w:rPr>
        <w:t xml:space="preserve"> 26 and functionally independent based on Instrumental Activity of Daily Living (IADL, 34) and Basic Activity of Daily Living (BADL, 35) were also excluded from the study. Dementia severity was assessed using the clinical dementia rating (CDR) scale </w:t>
      </w:r>
      <w:r w:rsidRPr="00F13A0A">
        <w:rPr>
          <w:rFonts w:ascii="Times New Roman" w:hAnsi="Times New Roman"/>
          <w:sz w:val="24"/>
          <w:szCs w:val="24"/>
        </w:rPr>
        <w:fldChar w:fldCharType="begin"/>
      </w:r>
      <w:r w:rsidR="00540747" w:rsidRPr="00F13A0A">
        <w:rPr>
          <w:rFonts w:ascii="Times New Roman" w:hAnsi="Times New Roman"/>
          <w:sz w:val="24"/>
          <w:szCs w:val="24"/>
        </w:rPr>
        <w:instrText xml:space="preserve"> ADDIN EN.CITE &lt;EndNote&gt;&lt;Cite&gt;&lt;Author&gt;Hughes&lt;/Author&gt;&lt;Year&gt;1982&lt;/Year&gt;&lt;RecNum&gt;3&lt;/RecNum&gt;&lt;DisplayText&gt;(Hughes et al. 1982)&lt;/DisplayText&gt;&lt;record&gt;&lt;rec-number&gt;3&lt;/rec-number&gt;&lt;foreign-keys&gt;&lt;key app="EN" db-id="xfp9zxr0052950ep90vpp25lxwrpx0wtswvw" timestamp="1653030424"&gt;3&lt;/key&gt;&lt;/foreign-keys&gt;&lt;ref-type name="Journal Article"&gt;17&lt;/ref-type&gt;&lt;contributors&gt;&lt;authors&gt;&lt;author&gt;Hughes, C P&lt;/author&gt;&lt;author&gt;Berg, L&lt;/author&gt;&lt;author&gt;Danziger, W L&lt;/author&gt;&lt;author&gt;Coben, L A&lt;/author&gt;&lt;author&gt;Martin, R L&lt;/author&gt;&lt;/authors&gt;&lt;/contributors&gt;&lt;titles&gt;&lt;title&gt;A new clinical scale for the staging of dementia &lt;/title&gt;&lt;secondary-title&gt;Br J Psychiatry&lt;/secondary-title&gt;&lt;/titles&gt;&lt;periodical&gt;&lt;full-title&gt;Br J Psychiatry&lt;/full-title&gt;&lt;/periodical&gt;&lt;pages&gt;566-572&lt;/pages&gt;&lt;volume&gt;140&lt;/volume&gt;&lt;dates&gt;&lt;year&gt;1982&lt;/year&gt;&lt;/dates&gt;&lt;urls&gt;&lt;/urls&gt;&lt;/record&gt;&lt;/Cite&gt;&lt;/EndNote&gt;</w:instrText>
      </w:r>
      <w:r w:rsidRPr="00F13A0A">
        <w:rPr>
          <w:rFonts w:ascii="Times New Roman" w:hAnsi="Times New Roman"/>
          <w:sz w:val="24"/>
          <w:szCs w:val="24"/>
        </w:rPr>
        <w:fldChar w:fldCharType="separate"/>
      </w:r>
      <w:r w:rsidR="00540747" w:rsidRPr="00F13A0A">
        <w:rPr>
          <w:rFonts w:ascii="Times New Roman" w:hAnsi="Times New Roman"/>
          <w:noProof/>
          <w:sz w:val="24"/>
          <w:szCs w:val="24"/>
        </w:rPr>
        <w:t>(Hughes et al. 1982)</w:t>
      </w:r>
      <w:r w:rsidRPr="00F13A0A">
        <w:rPr>
          <w:rFonts w:ascii="Times New Roman" w:hAnsi="Times New Roman"/>
          <w:sz w:val="24"/>
          <w:szCs w:val="24"/>
        </w:rPr>
        <w:fldChar w:fldCharType="end"/>
      </w:r>
      <w:r w:rsidRPr="00F13A0A">
        <w:rPr>
          <w:rFonts w:ascii="Times New Roman" w:hAnsi="Times New Roman"/>
          <w:sz w:val="24"/>
          <w:szCs w:val="24"/>
        </w:rPr>
        <w:t xml:space="preserve">. The Geriatric Depression Scale (GDS) </w:t>
      </w:r>
      <w:r w:rsidRPr="00F13A0A">
        <w:rPr>
          <w:rFonts w:ascii="Times New Roman" w:hAnsi="Times New Roman"/>
          <w:sz w:val="24"/>
          <w:szCs w:val="24"/>
        </w:rPr>
        <w:fldChar w:fldCharType="begin"/>
      </w:r>
      <w:r w:rsidR="00540747" w:rsidRPr="00F13A0A">
        <w:rPr>
          <w:rFonts w:ascii="Times New Roman" w:hAnsi="Times New Roman"/>
          <w:sz w:val="24"/>
          <w:szCs w:val="24"/>
        </w:rPr>
        <w:instrText xml:space="preserve"> ADDIN EN.CITE &lt;EndNote&gt;&lt;Cite&gt;&lt;Author&gt;Yesavage&lt;/Author&gt;&lt;Year&gt;1982-1983&lt;/Year&gt;&lt;RecNum&gt;4&lt;/RecNum&gt;&lt;DisplayText&gt;(Yesavage et al. 1982-1983)&lt;/DisplayText&gt;&lt;record&gt;&lt;rec-number&gt;4&lt;/rec-number&gt;&lt;foreign-keys&gt;&lt;key app="EN" db-id="xfp9zxr0052950ep90vpp25lxwrpx0wtswvw" timestamp="1653030677"&gt;4&lt;/key&gt;&lt;/foreign-keys&gt;&lt;ref-type name="Journal Article"&gt;17&lt;/ref-type&gt;&lt;contributors&gt;&lt;authors&gt;&lt;author&gt;Yesavage, J A&lt;/author&gt;&lt;author&gt;Brink, T L&lt;/author&gt;&lt;author&gt;Rose, T L&lt;/author&gt;&lt;author&gt;Lum, O&lt;/author&gt;&lt;author&gt;Huang, V&lt;/author&gt;&lt;author&gt;Adey, M&lt;/author&gt;&lt;author&gt;Leirer, V O&lt;/author&gt;&lt;/authors&gt;&lt;/contributors&gt;&lt;titles&gt;&lt;title&gt;Development and validation of a geriatric depression screening scale: a preliminary report&lt;/title&gt;&lt;secondary-title&gt;J Psychiatr Res&lt;/secondary-title&gt;&lt;/titles&gt;&lt;periodical&gt;&lt;full-title&gt;J Psychiatr Res&lt;/full-title&gt;&lt;/periodical&gt;&lt;pages&gt;37-49&lt;/pages&gt;&lt;volume&gt;17&lt;/volume&gt;&lt;number&gt;1&lt;/number&gt;&lt;dates&gt;&lt;year&gt;1982-1983&lt;/year&gt;&lt;/dates&gt;&lt;urls&gt;&lt;/urls&gt;&lt;/record&gt;&lt;/Cite&gt;&lt;/EndNote&gt;</w:instrText>
      </w:r>
      <w:r w:rsidRPr="00F13A0A">
        <w:rPr>
          <w:rFonts w:ascii="Times New Roman" w:hAnsi="Times New Roman"/>
          <w:sz w:val="24"/>
          <w:szCs w:val="24"/>
        </w:rPr>
        <w:fldChar w:fldCharType="separate"/>
      </w:r>
      <w:r w:rsidR="00540747" w:rsidRPr="00F13A0A">
        <w:rPr>
          <w:rFonts w:ascii="Times New Roman" w:hAnsi="Times New Roman"/>
          <w:noProof/>
          <w:sz w:val="24"/>
          <w:szCs w:val="24"/>
        </w:rPr>
        <w:t>(Yesavage et al. 1982-1983)</w:t>
      </w:r>
      <w:r w:rsidRPr="00F13A0A">
        <w:rPr>
          <w:rFonts w:ascii="Times New Roman" w:hAnsi="Times New Roman"/>
          <w:sz w:val="24"/>
          <w:szCs w:val="24"/>
        </w:rPr>
        <w:fldChar w:fldCharType="end"/>
      </w:r>
      <w:r w:rsidRPr="00F13A0A">
        <w:rPr>
          <w:rFonts w:ascii="Times New Roman" w:hAnsi="Times New Roman"/>
          <w:sz w:val="24"/>
          <w:szCs w:val="24"/>
        </w:rPr>
        <w:t xml:space="preserve"> was used to rule out those with cognitive impairment due to non-organic disorders. In terms of diagnosis, possible or probable AD subjects were diagnosed based on the National Institute of Neurological and Communicative Disease and Stroke and Alzheimer’s disease (NINCDS-ADRDA) </w:t>
      </w:r>
      <w:r w:rsidRPr="00F13A0A">
        <w:rPr>
          <w:rFonts w:ascii="Times New Roman" w:hAnsi="Times New Roman"/>
          <w:sz w:val="24"/>
          <w:szCs w:val="24"/>
        </w:rPr>
        <w:fldChar w:fldCharType="begin"/>
      </w:r>
      <w:r w:rsidR="00540747" w:rsidRPr="00F13A0A">
        <w:rPr>
          <w:rFonts w:ascii="Times New Roman" w:hAnsi="Times New Roman"/>
          <w:sz w:val="24"/>
          <w:szCs w:val="24"/>
        </w:rPr>
        <w:instrText xml:space="preserve"> ADDIN EN.CITE &lt;EndNote&gt;&lt;Cite&gt;&lt;Author&gt;Varma&lt;/Author&gt;&lt;Year&gt;1999&lt;/Year&gt;&lt;RecNum&gt;5&lt;/RecNum&gt;&lt;DisplayText&gt;(Varma et al. 1999)&lt;/DisplayText&gt;&lt;record&gt;&lt;rec-number&gt;5&lt;/rec-number&gt;&lt;foreign-keys&gt;&lt;key app="EN" db-id="xfp9zxr0052950ep90vpp25lxwrpx0wtswvw" timestamp="1653031325"&gt;5&lt;/key&gt;&lt;/foreign-keys&gt;&lt;ref-type name="Journal Article"&gt;17&lt;/ref-type&gt;&lt;contributors&gt;&lt;authors&gt;&lt;author&gt;Varma, A R&lt;/author&gt;&lt;author&gt;Snowden, J S&lt;/author&gt;&lt;author&gt;Lloyd, J J&lt;/author&gt;&lt;author&gt;Talbot, P R&lt;/author&gt;&lt;author&gt;Mann, D M&lt;/author&gt;&lt;author&gt;Neary, D&lt;/author&gt;&lt;/authors&gt;&lt;/contributors&gt;&lt;titles&gt;&lt;title&gt;Evaluation of the NINCDS-ADRDA criteria in the differentiation of Alzheimer&amp;apos;s disease and frontotemporal dementia &lt;/title&gt;&lt;secondary-title&gt;J Neurol Neurosurg Psychiatry&lt;/secondary-title&gt;&lt;/titles&gt;&lt;periodical&gt;&lt;full-title&gt;J Neurol Neurosurg Psychiatry&lt;/full-title&gt;&lt;/periodical&gt;&lt;pages&gt;184-188&lt;/pages&gt;&lt;volume&gt;66&lt;/volume&gt;&lt;number&gt;2&lt;/number&gt;&lt;dates&gt;&lt;year&gt;1999&lt;/year&gt;&lt;/dates&gt;&lt;urls&gt;&lt;/urls&gt;&lt;/record&gt;&lt;/Cite&gt;&lt;/EndNote&gt;</w:instrText>
      </w:r>
      <w:r w:rsidRPr="00F13A0A">
        <w:rPr>
          <w:rFonts w:ascii="Times New Roman" w:hAnsi="Times New Roman"/>
          <w:sz w:val="24"/>
          <w:szCs w:val="24"/>
        </w:rPr>
        <w:fldChar w:fldCharType="separate"/>
      </w:r>
      <w:r w:rsidR="00540747" w:rsidRPr="00F13A0A">
        <w:rPr>
          <w:rFonts w:ascii="Times New Roman" w:hAnsi="Times New Roman"/>
          <w:noProof/>
          <w:sz w:val="24"/>
          <w:szCs w:val="24"/>
        </w:rPr>
        <w:t>(Varma et al. 1999)</w:t>
      </w:r>
      <w:r w:rsidRPr="00F13A0A">
        <w:rPr>
          <w:rFonts w:ascii="Times New Roman" w:hAnsi="Times New Roman"/>
          <w:sz w:val="24"/>
          <w:szCs w:val="24"/>
        </w:rPr>
        <w:fldChar w:fldCharType="end"/>
      </w:r>
      <w:r w:rsidRPr="00F13A0A">
        <w:rPr>
          <w:rFonts w:ascii="Times New Roman" w:hAnsi="Times New Roman"/>
          <w:sz w:val="24"/>
          <w:szCs w:val="24"/>
        </w:rPr>
        <w:t xml:space="preserve"> and Diagnostic and Statistical Manual of Mental Disorder diagnostic </w:t>
      </w:r>
      <w:r w:rsidRPr="00F13A0A">
        <w:rPr>
          <w:rFonts w:ascii="Times New Roman" w:hAnsi="Times New Roman"/>
          <w:sz w:val="24"/>
          <w:szCs w:val="24"/>
        </w:rPr>
        <w:fldChar w:fldCharType="begin"/>
      </w:r>
      <w:r w:rsidR="00540747" w:rsidRPr="00F13A0A">
        <w:rPr>
          <w:rFonts w:ascii="Times New Roman" w:hAnsi="Times New Roman"/>
          <w:sz w:val="24"/>
          <w:szCs w:val="24"/>
        </w:rPr>
        <w:instrText xml:space="preserve"> ADDIN EN.CITE &lt;EndNote&gt;&lt;Cite&gt;&lt;Author&gt;American Psychiatric Association&lt;/Author&gt;&lt;Year&gt;1994&lt;/Year&gt;&lt;RecNum&gt;6&lt;/RecNum&gt;&lt;DisplayText&gt;(American Psychiatric Association 1994)&lt;/DisplayText&gt;&lt;record&gt;&lt;rec-number&gt;6&lt;/rec-number&gt;&lt;foreign-keys&gt;&lt;key app="EN" db-id="xfp9zxr0052950ep90vpp25lxwrpx0wtswvw" timestamp="1653031691"&gt;6&lt;/key&gt;&lt;/foreign-keys&gt;&lt;ref-type name="Book"&gt;6&lt;/ref-type&gt;&lt;contributors&gt;&lt;authors&gt;&lt;author&gt;American Psychiatric Association,&lt;/author&gt;&lt;/authors&gt;&lt;/contributors&gt;&lt;titles&gt;&lt;title&gt;Diagnostic and statistical manual of mental disorders&lt;/title&gt;&lt;/titles&gt;&lt;edition&gt;&lt;style face="normal" font="default" size="100%"&gt;4&lt;/style&gt;&lt;style face="superscript" font="default" size="100%"&gt;th&lt;/style&gt;&lt;style face="normal" font="default" size="100%"&gt; edition (DSM-IV)&lt;/style&gt;&lt;/edition&gt;&lt;section&gt;873&lt;/section&gt;&lt;dates&gt;&lt;year&gt;1994&lt;/year&gt;&lt;/dates&gt;&lt;pub-location&gt;Washington, D C&lt;/pub-location&gt;&lt;urls&gt;&lt;/urls&gt;&lt;/record&gt;&lt;/Cite&gt;&lt;/EndNote&gt;</w:instrText>
      </w:r>
      <w:r w:rsidRPr="00F13A0A">
        <w:rPr>
          <w:rFonts w:ascii="Times New Roman" w:hAnsi="Times New Roman"/>
          <w:sz w:val="24"/>
          <w:szCs w:val="24"/>
        </w:rPr>
        <w:fldChar w:fldCharType="separate"/>
      </w:r>
      <w:r w:rsidR="00540747" w:rsidRPr="00F13A0A">
        <w:rPr>
          <w:rFonts w:ascii="Times New Roman" w:hAnsi="Times New Roman"/>
          <w:noProof/>
          <w:sz w:val="24"/>
          <w:szCs w:val="24"/>
        </w:rPr>
        <w:t>(American Psychiatric Association 1994)</w:t>
      </w:r>
      <w:r w:rsidRPr="00F13A0A">
        <w:rPr>
          <w:rFonts w:ascii="Times New Roman" w:hAnsi="Times New Roman"/>
          <w:sz w:val="24"/>
          <w:szCs w:val="24"/>
        </w:rPr>
        <w:fldChar w:fldCharType="end"/>
      </w:r>
      <w:r w:rsidRPr="00F13A0A">
        <w:rPr>
          <w:rFonts w:ascii="Times New Roman" w:hAnsi="Times New Roman"/>
          <w:sz w:val="24"/>
          <w:szCs w:val="24"/>
        </w:rPr>
        <w:t xml:space="preserve"> criteria. MCI patients were required to fulfil the Petersen’s criteria of amnestic MCI </w:t>
      </w:r>
      <w:r w:rsidRPr="00F13A0A">
        <w:rPr>
          <w:rFonts w:ascii="Times New Roman" w:hAnsi="Times New Roman"/>
          <w:sz w:val="24"/>
          <w:szCs w:val="24"/>
        </w:rPr>
        <w:fldChar w:fldCharType="begin"/>
      </w:r>
      <w:r w:rsidR="00540747" w:rsidRPr="00F13A0A">
        <w:rPr>
          <w:rFonts w:ascii="Times New Roman" w:hAnsi="Times New Roman"/>
          <w:sz w:val="24"/>
          <w:szCs w:val="24"/>
        </w:rPr>
        <w:instrText xml:space="preserve"> ADDIN EN.CITE &lt;EndNote&gt;&lt;Cite&gt;&lt;Author&gt;Petersen&lt;/Author&gt;&lt;Year&gt;1999&lt;/Year&gt;&lt;RecNum&gt;7&lt;/RecNum&gt;&lt;DisplayText&gt;(Petersen et al. 1999)&lt;/DisplayText&gt;&lt;record&gt;&lt;rec-number&gt;7&lt;/rec-number&gt;&lt;foreign-keys&gt;&lt;key app="EN" db-id="xfp9zxr0052950ep90vpp25lxwrpx0wtswvw" timestamp="1653031822"&gt;7&lt;/key&gt;&lt;/foreign-keys&gt;&lt;ref-type name="Journal Article"&gt;17&lt;/ref-type&gt;&lt;contributors&gt;&lt;authors&gt;&lt;author&gt;Petersen, R C&lt;/author&gt;&lt;author&gt;Smith, G E&lt;/author&gt;&lt;author&gt;Waring, S C&lt;/author&gt;&lt;author&gt;Ivnik, R J&lt;/author&gt;&lt;author&gt;Tangalos, E G&lt;/author&gt;&lt;author&gt;Kokmen, E&lt;/author&gt;&lt;/authors&gt;&lt;/contributors&gt;&lt;titles&gt;&lt;title&gt;Mild cognitive impairment: clinical characterization and outcome&lt;/title&gt;&lt;secondary-title&gt;Arch Neurol&lt;/secondary-title&gt;&lt;/titles&gt;&lt;periodical&gt;&lt;full-title&gt;Arch Neurol&lt;/full-title&gt;&lt;/periodical&gt;&lt;pages&gt;303-308&lt;/pages&gt;&lt;volume&gt;56&lt;/volume&gt;&lt;number&gt;3&lt;/number&gt;&lt;dates&gt;&lt;year&gt;1999&lt;/year&gt;&lt;/dates&gt;&lt;urls&gt;&lt;/urls&gt;&lt;/record&gt;&lt;/Cite&gt;&lt;/EndNote&gt;</w:instrText>
      </w:r>
      <w:r w:rsidRPr="00F13A0A">
        <w:rPr>
          <w:rFonts w:ascii="Times New Roman" w:hAnsi="Times New Roman"/>
          <w:sz w:val="24"/>
          <w:szCs w:val="24"/>
        </w:rPr>
        <w:fldChar w:fldCharType="separate"/>
      </w:r>
      <w:r w:rsidR="00540747" w:rsidRPr="00F13A0A">
        <w:rPr>
          <w:rFonts w:ascii="Times New Roman" w:hAnsi="Times New Roman"/>
          <w:noProof/>
          <w:sz w:val="24"/>
          <w:szCs w:val="24"/>
        </w:rPr>
        <w:t>(Petersen et al. 1999)</w:t>
      </w:r>
      <w:r w:rsidRPr="00F13A0A">
        <w:rPr>
          <w:rFonts w:ascii="Times New Roman" w:hAnsi="Times New Roman"/>
          <w:sz w:val="24"/>
          <w:szCs w:val="24"/>
        </w:rPr>
        <w:fldChar w:fldCharType="end"/>
      </w:r>
      <w:r w:rsidRPr="00F13A0A">
        <w:rPr>
          <w:rFonts w:ascii="Times New Roman" w:hAnsi="Times New Roman"/>
          <w:sz w:val="24"/>
          <w:szCs w:val="24"/>
        </w:rPr>
        <w:t xml:space="preserve">. All </w:t>
      </w:r>
      <w:proofErr w:type="spellStart"/>
      <w:r w:rsidRPr="00F13A0A">
        <w:rPr>
          <w:rFonts w:ascii="Times New Roman" w:hAnsi="Times New Roman"/>
          <w:sz w:val="24"/>
          <w:szCs w:val="24"/>
        </w:rPr>
        <w:t>VaD</w:t>
      </w:r>
      <w:proofErr w:type="spellEnd"/>
      <w:r w:rsidRPr="00F13A0A">
        <w:rPr>
          <w:rFonts w:ascii="Times New Roman" w:hAnsi="Times New Roman"/>
          <w:sz w:val="24"/>
          <w:szCs w:val="24"/>
        </w:rPr>
        <w:t xml:space="preserve"> patients were diagnosed in accordance with the National Institute of Neurological Disorders and Stroke and the Association Internationale pour la Recherche et </w:t>
      </w:r>
      <w:proofErr w:type="spellStart"/>
      <w:r w:rsidRPr="00F13A0A">
        <w:rPr>
          <w:rFonts w:ascii="Times New Roman" w:hAnsi="Times New Roman"/>
          <w:sz w:val="24"/>
          <w:szCs w:val="24"/>
        </w:rPr>
        <w:t>l'Enseignement</w:t>
      </w:r>
      <w:proofErr w:type="spellEnd"/>
      <w:r w:rsidRPr="00F13A0A">
        <w:rPr>
          <w:rFonts w:ascii="Times New Roman" w:hAnsi="Times New Roman"/>
          <w:sz w:val="24"/>
          <w:szCs w:val="24"/>
        </w:rPr>
        <w:t xml:space="preserve"> </w:t>
      </w:r>
      <w:proofErr w:type="spellStart"/>
      <w:r w:rsidRPr="00F13A0A">
        <w:rPr>
          <w:rFonts w:ascii="Times New Roman" w:hAnsi="Times New Roman"/>
          <w:sz w:val="24"/>
          <w:szCs w:val="24"/>
        </w:rPr>
        <w:t>en</w:t>
      </w:r>
      <w:proofErr w:type="spellEnd"/>
      <w:r w:rsidRPr="00F13A0A">
        <w:rPr>
          <w:rFonts w:ascii="Times New Roman" w:hAnsi="Times New Roman"/>
          <w:sz w:val="24"/>
          <w:szCs w:val="24"/>
        </w:rPr>
        <w:t xml:space="preserve"> Neurosciences (NINDS-AIREN) </w:t>
      </w:r>
      <w:r w:rsidRPr="00F13A0A">
        <w:rPr>
          <w:rFonts w:ascii="Times New Roman" w:hAnsi="Times New Roman"/>
          <w:sz w:val="24"/>
          <w:szCs w:val="24"/>
        </w:rPr>
        <w:fldChar w:fldCharType="begin"/>
      </w:r>
      <w:r w:rsidR="00540747" w:rsidRPr="00F13A0A">
        <w:rPr>
          <w:rFonts w:ascii="Times New Roman" w:hAnsi="Times New Roman"/>
          <w:sz w:val="24"/>
          <w:szCs w:val="24"/>
        </w:rPr>
        <w:instrText xml:space="preserve"> ADDIN EN.CITE &lt;EndNote&gt;&lt;Cite&gt;&lt;Author&gt;Román&lt;/Author&gt;&lt;Year&gt;1993&lt;/Year&gt;&lt;RecNum&gt;8&lt;/RecNum&gt;&lt;DisplayText&gt;(Román et al. 1993)&lt;/DisplayText&gt;&lt;record&gt;&lt;rec-number&gt;8&lt;/rec-number&gt;&lt;foreign-keys&gt;&lt;key app="EN" db-id="xfp9zxr0052950ep90vpp25lxwrpx0wtswvw" timestamp="1653033458"&gt;8&lt;/key&gt;&lt;/foreign-keys&gt;&lt;ref-type name="Journal Article"&gt;17&lt;/ref-type&gt;&lt;contributors&gt;&lt;authors&gt;&lt;author&gt;Román, G C&lt;/author&gt;&lt;author&gt;Tatemichi, T K&lt;/author&gt;&lt;author&gt;Erkinjuntti, T&lt;/author&gt;&lt;author&gt;Cummings, J L&lt;/author&gt;&lt;author&gt;Masdeu, J C&lt;/author&gt;&lt;author&gt;Garcia, J H&lt;/author&gt;&lt;author&gt;Amaducci, L&lt;/author&gt;&lt;author&gt;Orgogozo, J-M&lt;/author&gt;&lt;author&gt;Brun, A&lt;/author&gt;&lt;author&gt;Hofman, A&lt;/author&gt;&lt;author&gt;Moody, D M&lt;/author&gt;&lt;author&gt;O&amp;apos;Brien, M D&lt;/author&gt;&lt;author&gt;Yamaguchi, T&lt;/author&gt;&lt;author&gt;Grafman, J&lt;/author&gt;&lt;author&gt;Drayer, B P&lt;/author&gt;&lt;author&gt;Bennett, D A&lt;/author&gt;&lt;author&gt;Fisher, M&lt;/author&gt;&lt;author&gt;Ogata, J&lt;/author&gt;&lt;author&gt;Kokmen, E&lt;/author&gt;&lt;author&gt;Bermejo, F&lt;/author&gt;&lt;author&gt;Wolf, P A&lt;/author&gt;&lt;author&gt;Gorelick, P B&lt;/author&gt;&lt;author&gt;Bick, K L&lt;/author&gt;&lt;author&gt;Pajeau, A K&lt;/author&gt;&lt;author&gt;Bell, M A&lt;/author&gt;&lt;author&gt;DeCarli, C&lt;/author&gt;&lt;author&gt;Culebras, A&lt;/author&gt;&lt;author&gt;Korczyn, A D&lt;/author&gt;&lt;author&gt;Bogousslavsky, J&lt;/author&gt;&lt;author&gt;Hartmann, A&lt;/author&gt;&lt;author&gt;Scheinberg, P &lt;/author&gt;&lt;/authors&gt;&lt;/contributors&gt;&lt;titles&gt;&lt;title&gt;Vascular dementia: diagnostic criteria for research studies. Report of the NINDS-AIREN International Workshop&lt;/title&gt;&lt;secondary-title&gt;Neurology&lt;/secondary-title&gt;&lt;/titles&gt;&lt;periodical&gt;&lt;full-title&gt;Neurology&lt;/full-title&gt;&lt;/periodical&gt;&lt;pages&gt;250-260&lt;/pages&gt;&lt;volume&gt;43&lt;/volume&gt;&lt;number&gt;2&lt;/number&gt;&lt;dates&gt;&lt;year&gt;1993&lt;/year&gt;&lt;/dates&gt;&lt;urls&gt;&lt;/urls&gt;&lt;/record&gt;&lt;/Cite&gt;&lt;/EndNote&gt;</w:instrText>
      </w:r>
      <w:r w:rsidRPr="00F13A0A">
        <w:rPr>
          <w:rFonts w:ascii="Times New Roman" w:hAnsi="Times New Roman"/>
          <w:sz w:val="24"/>
          <w:szCs w:val="24"/>
        </w:rPr>
        <w:fldChar w:fldCharType="separate"/>
      </w:r>
      <w:r w:rsidR="00540747" w:rsidRPr="00F13A0A">
        <w:rPr>
          <w:rFonts w:ascii="Times New Roman" w:hAnsi="Times New Roman"/>
          <w:noProof/>
          <w:sz w:val="24"/>
          <w:szCs w:val="24"/>
        </w:rPr>
        <w:t>(Román et al. 1993)</w:t>
      </w:r>
      <w:r w:rsidRPr="00F13A0A">
        <w:rPr>
          <w:rFonts w:ascii="Times New Roman" w:hAnsi="Times New Roman"/>
          <w:sz w:val="24"/>
          <w:szCs w:val="24"/>
        </w:rPr>
        <w:fldChar w:fldCharType="end"/>
      </w:r>
      <w:r w:rsidRPr="00F13A0A">
        <w:rPr>
          <w:rFonts w:ascii="Times New Roman" w:hAnsi="Times New Roman"/>
          <w:sz w:val="24"/>
          <w:szCs w:val="24"/>
        </w:rPr>
        <w:t xml:space="preserve">. The NDC group, on the other hand, was mainly made up of spouses of patients with probable AD or MCI. All participants were subjected to physical and psychometric evaluations as well as routine laboratory blood tests. Medical records and clinical data were further reviewed for comorbid conditions, significant medical history, concurrent drugs used and biochemical results. The training cohort (Phase 1) comprised of 184 participants [92 NDC subjects vs 92 probable AD patients] whilst the validation cohort (Phase 2) was made up of a total of 74 participants (25 NDCs vs 25 probable AD vs 12 MCI vs 12 </w:t>
      </w:r>
      <w:proofErr w:type="spellStart"/>
      <w:r w:rsidRPr="00F13A0A">
        <w:rPr>
          <w:rFonts w:ascii="Times New Roman" w:hAnsi="Times New Roman"/>
          <w:sz w:val="24"/>
          <w:szCs w:val="24"/>
        </w:rPr>
        <w:t>VaD</w:t>
      </w:r>
      <w:proofErr w:type="spellEnd"/>
      <w:r w:rsidRPr="00F13A0A">
        <w:rPr>
          <w:rFonts w:ascii="Times New Roman" w:hAnsi="Times New Roman"/>
          <w:sz w:val="24"/>
          <w:szCs w:val="24"/>
        </w:rPr>
        <w:t xml:space="preserve">). </w:t>
      </w:r>
      <w:r w:rsidR="00B66FDD" w:rsidRPr="00F13A0A">
        <w:rPr>
          <w:rFonts w:ascii="Times New Roman" w:hAnsi="Times New Roman"/>
          <w:sz w:val="24"/>
          <w:szCs w:val="24"/>
        </w:rPr>
        <w:t>Fig</w:t>
      </w:r>
      <w:r w:rsidR="00F74299" w:rsidRPr="00F13A0A">
        <w:rPr>
          <w:rFonts w:ascii="Times New Roman" w:hAnsi="Times New Roman"/>
          <w:sz w:val="24"/>
          <w:szCs w:val="24"/>
        </w:rPr>
        <w:t>ure</w:t>
      </w:r>
      <w:r w:rsidR="00B66FDD" w:rsidRPr="00F13A0A">
        <w:rPr>
          <w:rFonts w:ascii="Times New Roman" w:hAnsi="Times New Roman"/>
          <w:sz w:val="24"/>
          <w:szCs w:val="24"/>
        </w:rPr>
        <w:t xml:space="preserve"> </w:t>
      </w:r>
      <w:r w:rsidR="00F74299" w:rsidRPr="00F13A0A">
        <w:rPr>
          <w:rFonts w:ascii="Times New Roman" w:hAnsi="Times New Roman"/>
          <w:sz w:val="24"/>
          <w:szCs w:val="24"/>
        </w:rPr>
        <w:t>S</w:t>
      </w:r>
      <w:r w:rsidR="00B66FDD" w:rsidRPr="00F13A0A">
        <w:rPr>
          <w:rFonts w:ascii="Times New Roman" w:hAnsi="Times New Roman"/>
          <w:sz w:val="24"/>
          <w:szCs w:val="24"/>
        </w:rPr>
        <w:t>1 illustrates the workflow of the present study.</w:t>
      </w:r>
    </w:p>
    <w:p w14:paraId="21AF3CDC" w14:textId="5ABE9B49" w:rsidR="00AF0870" w:rsidRPr="00F13A0A" w:rsidRDefault="00AF0870" w:rsidP="007E5E2A">
      <w:pPr>
        <w:autoSpaceDE w:val="0"/>
        <w:autoSpaceDN w:val="0"/>
        <w:adjustRightInd w:val="0"/>
        <w:spacing w:after="0"/>
        <w:rPr>
          <w:rFonts w:ascii="Times New Roman" w:hAnsi="Times New Roman"/>
          <w:sz w:val="24"/>
          <w:szCs w:val="24"/>
        </w:rPr>
      </w:pPr>
    </w:p>
    <w:p w14:paraId="1C60BB97" w14:textId="0FE90254" w:rsidR="00AF0870" w:rsidRPr="00F13A0A" w:rsidRDefault="00FD6008" w:rsidP="007E5E2A">
      <w:pPr>
        <w:pStyle w:val="Heading4"/>
        <w:spacing w:line="360" w:lineRule="auto"/>
      </w:pPr>
      <w:bookmarkStart w:id="1" w:name="_Toc514622613"/>
      <w:r>
        <w:lastRenderedPageBreak/>
        <w:t xml:space="preserve">Method S2: </w:t>
      </w:r>
      <w:bookmarkStart w:id="2" w:name="_Hlk136606847"/>
      <w:r w:rsidR="00AF0870" w:rsidRPr="00F13A0A">
        <w:t xml:space="preserve">Blood </w:t>
      </w:r>
      <w:bookmarkEnd w:id="1"/>
      <w:r w:rsidR="00AF0870" w:rsidRPr="00F13A0A">
        <w:t>biochemical profile and RNA extraction</w:t>
      </w:r>
      <w:bookmarkEnd w:id="2"/>
    </w:p>
    <w:p w14:paraId="5D5837C7" w14:textId="460951B8" w:rsidR="00AF0870" w:rsidRPr="00F13A0A" w:rsidRDefault="00AF0870" w:rsidP="007E5E2A">
      <w:pPr>
        <w:autoSpaceDE w:val="0"/>
        <w:autoSpaceDN w:val="0"/>
        <w:adjustRightInd w:val="0"/>
        <w:spacing w:after="0"/>
        <w:rPr>
          <w:rFonts w:ascii="Times New Roman" w:hAnsi="Times New Roman"/>
          <w:sz w:val="24"/>
          <w:szCs w:val="24"/>
        </w:rPr>
      </w:pPr>
      <w:r w:rsidRPr="00F13A0A">
        <w:rPr>
          <w:rFonts w:ascii="Times New Roman" w:hAnsi="Times New Roman"/>
          <w:sz w:val="24"/>
          <w:szCs w:val="24"/>
        </w:rPr>
        <w:t>Plasma concentrations of homocysteine (</w:t>
      </w:r>
      <w:proofErr w:type="spellStart"/>
      <w:r w:rsidRPr="00F13A0A">
        <w:rPr>
          <w:rFonts w:ascii="Times New Roman" w:hAnsi="Times New Roman"/>
          <w:sz w:val="24"/>
          <w:szCs w:val="24"/>
        </w:rPr>
        <w:t>tHcy</w:t>
      </w:r>
      <w:proofErr w:type="spellEnd"/>
      <w:r w:rsidRPr="00F13A0A">
        <w:rPr>
          <w:rFonts w:ascii="Times New Roman" w:hAnsi="Times New Roman"/>
          <w:sz w:val="24"/>
          <w:szCs w:val="24"/>
        </w:rPr>
        <w:t xml:space="preserve">), </w:t>
      </w:r>
      <w:proofErr w:type="spellStart"/>
      <w:r w:rsidRPr="00F13A0A">
        <w:rPr>
          <w:rFonts w:ascii="Times New Roman" w:hAnsi="Times New Roman"/>
          <w:sz w:val="24"/>
          <w:szCs w:val="24"/>
        </w:rPr>
        <w:t>holotranscobalamin</w:t>
      </w:r>
      <w:proofErr w:type="spellEnd"/>
      <w:r w:rsidRPr="00F13A0A">
        <w:rPr>
          <w:rFonts w:ascii="Times New Roman" w:hAnsi="Times New Roman"/>
          <w:sz w:val="24"/>
          <w:szCs w:val="24"/>
        </w:rPr>
        <w:t xml:space="preserve"> (</w:t>
      </w:r>
      <w:proofErr w:type="spellStart"/>
      <w:r w:rsidRPr="00F13A0A">
        <w:rPr>
          <w:rFonts w:ascii="Times New Roman" w:hAnsi="Times New Roman"/>
          <w:sz w:val="24"/>
          <w:szCs w:val="24"/>
        </w:rPr>
        <w:t>holoTC</w:t>
      </w:r>
      <w:proofErr w:type="spellEnd"/>
      <w:r w:rsidRPr="00F13A0A">
        <w:rPr>
          <w:rFonts w:ascii="Times New Roman" w:hAnsi="Times New Roman"/>
          <w:sz w:val="24"/>
          <w:szCs w:val="24"/>
        </w:rPr>
        <w:t xml:space="preserve">), vitamin B12, folate and serum concentration of ferritin were determined by the ARCHITECT </w:t>
      </w:r>
      <w:proofErr w:type="spellStart"/>
      <w:r w:rsidRPr="00F13A0A">
        <w:rPr>
          <w:rFonts w:ascii="Times New Roman" w:hAnsi="Times New Roman"/>
          <w:sz w:val="24"/>
          <w:szCs w:val="24"/>
        </w:rPr>
        <w:t>i</w:t>
      </w:r>
      <w:proofErr w:type="spellEnd"/>
      <w:r w:rsidRPr="00F13A0A">
        <w:rPr>
          <w:rFonts w:ascii="Times New Roman" w:hAnsi="Times New Roman"/>
          <w:sz w:val="24"/>
          <w:szCs w:val="24"/>
        </w:rPr>
        <w:t xml:space="preserve"> System (Abbott Laboratories., Wiesbaden, Germany). The serum lipid profile was determined by Gribbles Pathology </w:t>
      </w:r>
      <w:proofErr w:type="spellStart"/>
      <w:r w:rsidRPr="00F13A0A">
        <w:rPr>
          <w:rFonts w:ascii="Times New Roman" w:hAnsi="Times New Roman"/>
          <w:sz w:val="24"/>
          <w:szCs w:val="24"/>
        </w:rPr>
        <w:t>Sdn</w:t>
      </w:r>
      <w:proofErr w:type="spellEnd"/>
      <w:r w:rsidRPr="00F13A0A">
        <w:rPr>
          <w:rFonts w:ascii="Times New Roman" w:hAnsi="Times New Roman"/>
          <w:sz w:val="24"/>
          <w:szCs w:val="24"/>
        </w:rPr>
        <w:t>. Bhd., Malaysia.</w:t>
      </w:r>
    </w:p>
    <w:p w14:paraId="08EEC6E9" w14:textId="6DBCB9AF" w:rsidR="002332A2" w:rsidRPr="00F13A0A" w:rsidRDefault="002332A2" w:rsidP="007E5E2A">
      <w:pPr>
        <w:autoSpaceDE w:val="0"/>
        <w:autoSpaceDN w:val="0"/>
        <w:adjustRightInd w:val="0"/>
        <w:spacing w:after="0"/>
        <w:rPr>
          <w:rFonts w:ascii="Times New Roman" w:hAnsi="Times New Roman"/>
          <w:sz w:val="24"/>
          <w:szCs w:val="24"/>
        </w:rPr>
      </w:pPr>
    </w:p>
    <w:p w14:paraId="6965CECA" w14:textId="1AC446D4" w:rsidR="002332A2" w:rsidRPr="00F13A0A" w:rsidRDefault="00FD6008" w:rsidP="007E5E2A">
      <w:pPr>
        <w:pStyle w:val="Heading4"/>
        <w:spacing w:line="360" w:lineRule="auto"/>
      </w:pPr>
      <w:bookmarkStart w:id="3" w:name="_Hlk136606859"/>
      <w:r>
        <w:t xml:space="preserve">Method S3: </w:t>
      </w:r>
      <w:r w:rsidR="002332A2" w:rsidRPr="00F13A0A">
        <w:t xml:space="preserve">Microarray </w:t>
      </w:r>
    </w:p>
    <w:bookmarkEnd w:id="3"/>
    <w:p w14:paraId="01BB00EA" w14:textId="4DB66777" w:rsidR="002332A2" w:rsidRPr="00F13A0A" w:rsidRDefault="002332A2" w:rsidP="007E5E2A">
      <w:pPr>
        <w:pStyle w:val="Heading4"/>
        <w:numPr>
          <w:ilvl w:val="0"/>
          <w:numId w:val="1"/>
        </w:numPr>
        <w:spacing w:line="360" w:lineRule="auto"/>
      </w:pPr>
      <w:r w:rsidRPr="00F13A0A">
        <w:t xml:space="preserve">Preparation of microarrays, fluorescently </w:t>
      </w:r>
      <w:r w:rsidR="00AF0870" w:rsidRPr="00F13A0A">
        <w:t>labelled</w:t>
      </w:r>
      <w:r w:rsidRPr="00F13A0A">
        <w:t xml:space="preserve"> </w:t>
      </w:r>
      <w:proofErr w:type="spellStart"/>
      <w:r w:rsidRPr="00F13A0A">
        <w:t>cRNA</w:t>
      </w:r>
      <w:proofErr w:type="spellEnd"/>
      <w:r w:rsidRPr="00F13A0A">
        <w:t xml:space="preserve"> and hybridi</w:t>
      </w:r>
      <w:r w:rsidR="00AF0870" w:rsidRPr="00F13A0A">
        <w:t>s</w:t>
      </w:r>
      <w:r w:rsidRPr="00F13A0A">
        <w:t>ation</w:t>
      </w:r>
    </w:p>
    <w:p w14:paraId="7E1EC933" w14:textId="6F0551AC" w:rsidR="002332A2" w:rsidRPr="00F13A0A" w:rsidRDefault="00AF0870" w:rsidP="007E5E2A">
      <w:pPr>
        <w:spacing w:after="0"/>
        <w:rPr>
          <w:rFonts w:ascii="Times New Roman" w:hAnsi="Times New Roman"/>
          <w:sz w:val="24"/>
          <w:szCs w:val="24"/>
        </w:rPr>
      </w:pPr>
      <w:r w:rsidRPr="00F13A0A">
        <w:rPr>
          <w:rFonts w:ascii="Times New Roman" w:hAnsi="Times New Roman"/>
          <w:sz w:val="24"/>
          <w:szCs w:val="24"/>
        </w:rPr>
        <w:t xml:space="preserve">Total RNA for microarray was extracted from blood samples using the </w:t>
      </w:r>
      <w:proofErr w:type="spellStart"/>
      <w:r w:rsidRPr="00F13A0A">
        <w:rPr>
          <w:rFonts w:ascii="Times New Roman" w:hAnsi="Times New Roman"/>
          <w:sz w:val="24"/>
          <w:szCs w:val="24"/>
        </w:rPr>
        <w:t>Ribopure</w:t>
      </w:r>
      <w:r w:rsidRPr="00F13A0A">
        <w:rPr>
          <w:rFonts w:ascii="Times New Roman" w:hAnsi="Times New Roman"/>
          <w:sz w:val="24"/>
          <w:szCs w:val="24"/>
          <w:vertAlign w:val="superscript"/>
        </w:rPr>
        <w:t>TM</w:t>
      </w:r>
      <w:proofErr w:type="spellEnd"/>
      <w:r w:rsidRPr="00F13A0A">
        <w:rPr>
          <w:rFonts w:ascii="Times New Roman" w:hAnsi="Times New Roman"/>
          <w:sz w:val="24"/>
          <w:szCs w:val="24"/>
        </w:rPr>
        <w:t xml:space="preserve"> – Blood RNA Isolation Kit (</w:t>
      </w:r>
      <w:proofErr w:type="spellStart"/>
      <w:r w:rsidRPr="00F13A0A">
        <w:rPr>
          <w:rFonts w:ascii="Times New Roman" w:hAnsi="Times New Roman"/>
          <w:sz w:val="24"/>
          <w:szCs w:val="24"/>
        </w:rPr>
        <w:t>Ambion</w:t>
      </w:r>
      <w:proofErr w:type="spellEnd"/>
      <w:r w:rsidRPr="00F13A0A">
        <w:rPr>
          <w:rFonts w:ascii="Times New Roman" w:hAnsi="Times New Roman"/>
          <w:sz w:val="24"/>
          <w:szCs w:val="24"/>
        </w:rPr>
        <w:t xml:space="preserve">, USA) and stored at −80 </w:t>
      </w:r>
      <w:proofErr w:type="spellStart"/>
      <w:r w:rsidRPr="00F13A0A">
        <w:rPr>
          <w:rFonts w:ascii="Times New Roman" w:hAnsi="Times New Roman"/>
          <w:sz w:val="24"/>
          <w:szCs w:val="24"/>
          <w:vertAlign w:val="superscript"/>
        </w:rPr>
        <w:t>o</w:t>
      </w:r>
      <w:r w:rsidRPr="00F13A0A">
        <w:rPr>
          <w:rFonts w:ascii="Times New Roman" w:hAnsi="Times New Roman"/>
          <w:sz w:val="24"/>
          <w:szCs w:val="24"/>
        </w:rPr>
        <w:t>C</w:t>
      </w:r>
      <w:proofErr w:type="spellEnd"/>
      <w:r w:rsidRPr="00F13A0A">
        <w:rPr>
          <w:rFonts w:ascii="Times New Roman" w:hAnsi="Times New Roman"/>
          <w:sz w:val="24"/>
          <w:szCs w:val="24"/>
        </w:rPr>
        <w:t xml:space="preserve"> before use. Only high integrity RNA with a cut off &gt; 7.0, 260/ 280 and 260/ 230 ratios &gt; 1.8 were used for subsequent analysis. </w:t>
      </w:r>
      <w:r w:rsidR="002332A2" w:rsidRPr="00F13A0A">
        <w:rPr>
          <w:rFonts w:ascii="Times New Roman" w:hAnsi="Times New Roman"/>
          <w:sz w:val="24"/>
          <w:szCs w:val="24"/>
        </w:rPr>
        <w:t>A total of 184 samples were analysed in the microarray study. The gene expression analysis was based on a one colour microarray experiment using commercial oligonucleotide microarray slide. The Oligonucleotide probe (single-stranded RNA fragment) in the slide was 60 bases (</w:t>
      </w:r>
      <w:proofErr w:type="spellStart"/>
      <w:r w:rsidR="002332A2" w:rsidRPr="00F13A0A">
        <w:rPr>
          <w:rFonts w:ascii="Times New Roman" w:hAnsi="Times New Roman"/>
          <w:sz w:val="24"/>
          <w:szCs w:val="24"/>
        </w:rPr>
        <w:t>mer</w:t>
      </w:r>
      <w:proofErr w:type="spellEnd"/>
      <w:r w:rsidR="002332A2" w:rsidRPr="00F13A0A">
        <w:rPr>
          <w:rFonts w:ascii="Times New Roman" w:hAnsi="Times New Roman"/>
          <w:sz w:val="24"/>
          <w:szCs w:val="24"/>
        </w:rPr>
        <w:t xml:space="preserve">) in length. The Agilent </w:t>
      </w:r>
      <w:proofErr w:type="spellStart"/>
      <w:r w:rsidR="002332A2" w:rsidRPr="00F13A0A">
        <w:rPr>
          <w:rFonts w:ascii="Times New Roman" w:hAnsi="Times New Roman"/>
          <w:sz w:val="24"/>
          <w:szCs w:val="24"/>
        </w:rPr>
        <w:t>SurePrint</w:t>
      </w:r>
      <w:proofErr w:type="spellEnd"/>
      <w:r w:rsidR="002332A2" w:rsidRPr="00F13A0A">
        <w:rPr>
          <w:rFonts w:ascii="Times New Roman" w:hAnsi="Times New Roman"/>
          <w:sz w:val="24"/>
          <w:szCs w:val="24"/>
        </w:rPr>
        <w:t xml:space="preserve"> G3 Human GE 8x60K (Agilent Technologies, CA, USA) with 42,405 oligonucleotide probes (60-mer), representing 29,271 annotated genes were used for hybridisation according to the manufacturer’s instructions. Microarray experiments were with one array per sample. All 184 samples were distributed randomly across 23 microarray slides (8 samples/ slide) by taking into consideration biological replicates of each phenotype (4 AD and 4 NDC samples/ slide). The Cy3–CTP-labelled </w:t>
      </w:r>
      <w:proofErr w:type="spellStart"/>
      <w:r w:rsidR="002332A2" w:rsidRPr="00F13A0A">
        <w:rPr>
          <w:rFonts w:ascii="Times New Roman" w:hAnsi="Times New Roman"/>
          <w:sz w:val="24"/>
          <w:szCs w:val="24"/>
        </w:rPr>
        <w:t>cRNA</w:t>
      </w:r>
      <w:proofErr w:type="spellEnd"/>
      <w:r w:rsidR="002332A2" w:rsidRPr="00F13A0A">
        <w:rPr>
          <w:rFonts w:ascii="Times New Roman" w:hAnsi="Times New Roman"/>
          <w:sz w:val="24"/>
          <w:szCs w:val="24"/>
        </w:rPr>
        <w:t xml:space="preserve"> target (100 ng RNA) was prepared using the One-Color Low Input Quick Amp Kit and the One-Color Spike-In Kit (Agilent Technologies, CA, USA). Labelled </w:t>
      </w:r>
      <w:proofErr w:type="spellStart"/>
      <w:r w:rsidR="002332A2" w:rsidRPr="00F13A0A">
        <w:rPr>
          <w:rFonts w:ascii="Times New Roman" w:hAnsi="Times New Roman"/>
          <w:sz w:val="24"/>
          <w:szCs w:val="24"/>
        </w:rPr>
        <w:t>cRNA</w:t>
      </w:r>
      <w:proofErr w:type="spellEnd"/>
      <w:r w:rsidR="002332A2" w:rsidRPr="00F13A0A">
        <w:rPr>
          <w:rFonts w:ascii="Times New Roman" w:hAnsi="Times New Roman"/>
          <w:sz w:val="24"/>
          <w:szCs w:val="24"/>
        </w:rPr>
        <w:t xml:space="preserve"> was purified using the RNeasy Mini Kit (Qiagen, </w:t>
      </w:r>
      <w:r w:rsidR="002332A2" w:rsidRPr="00F13A0A">
        <w:rPr>
          <w:rFonts w:ascii="Times New Roman" w:hAnsi="Times New Roman"/>
          <w:color w:val="222222"/>
          <w:sz w:val="24"/>
          <w:szCs w:val="24"/>
          <w:shd w:val="clear" w:color="auto" w:fill="FFFFFF"/>
        </w:rPr>
        <w:t>Valencia, CA</w:t>
      </w:r>
      <w:r w:rsidR="002332A2" w:rsidRPr="00F13A0A">
        <w:rPr>
          <w:rFonts w:ascii="Times New Roman" w:hAnsi="Times New Roman"/>
          <w:sz w:val="24"/>
          <w:szCs w:val="24"/>
        </w:rPr>
        <w:t xml:space="preserve">) and quantified using the Nanodrop ND-1000 VIS spectrophotometer. Specific activity of Cy3 was calculated in </w:t>
      </w:r>
      <w:proofErr w:type="spellStart"/>
      <w:r w:rsidR="002332A2" w:rsidRPr="00F13A0A">
        <w:rPr>
          <w:rFonts w:ascii="Times New Roman" w:hAnsi="Times New Roman"/>
          <w:sz w:val="24"/>
          <w:szCs w:val="24"/>
        </w:rPr>
        <w:t>pmol</w:t>
      </w:r>
      <w:proofErr w:type="spellEnd"/>
      <w:r w:rsidR="002332A2" w:rsidRPr="00F13A0A">
        <w:rPr>
          <w:rFonts w:ascii="Times New Roman" w:hAnsi="Times New Roman"/>
          <w:sz w:val="24"/>
          <w:szCs w:val="24"/>
        </w:rPr>
        <w:t xml:space="preserve"> per µg with a minimum threshold of 0.825. Labelled </w:t>
      </w:r>
      <w:proofErr w:type="spellStart"/>
      <w:r w:rsidR="002332A2" w:rsidRPr="00F13A0A">
        <w:rPr>
          <w:rFonts w:ascii="Times New Roman" w:hAnsi="Times New Roman"/>
          <w:sz w:val="24"/>
          <w:szCs w:val="24"/>
        </w:rPr>
        <w:t>cRNA</w:t>
      </w:r>
      <w:proofErr w:type="spellEnd"/>
      <w:r w:rsidR="002332A2" w:rsidRPr="00F13A0A">
        <w:rPr>
          <w:rFonts w:ascii="Times New Roman" w:hAnsi="Times New Roman"/>
          <w:sz w:val="24"/>
          <w:szCs w:val="24"/>
        </w:rPr>
        <w:t xml:space="preserve"> was fragmented by incubation with 5 </w:t>
      </w:r>
      <w:proofErr w:type="spellStart"/>
      <w:r w:rsidR="002332A2" w:rsidRPr="00F13A0A">
        <w:rPr>
          <w:rFonts w:ascii="Times New Roman" w:hAnsi="Times New Roman"/>
          <w:sz w:val="24"/>
          <w:szCs w:val="24"/>
        </w:rPr>
        <w:t>μL</w:t>
      </w:r>
      <w:proofErr w:type="spellEnd"/>
      <w:r w:rsidR="002332A2" w:rsidRPr="00F13A0A">
        <w:rPr>
          <w:rFonts w:ascii="Times New Roman" w:hAnsi="Times New Roman"/>
          <w:sz w:val="24"/>
          <w:szCs w:val="24"/>
        </w:rPr>
        <w:t xml:space="preserve"> 10X blocking reagent and 1 </w:t>
      </w:r>
      <w:proofErr w:type="spellStart"/>
      <w:r w:rsidR="002332A2" w:rsidRPr="00F13A0A">
        <w:rPr>
          <w:rFonts w:ascii="Times New Roman" w:hAnsi="Times New Roman"/>
          <w:sz w:val="24"/>
          <w:szCs w:val="24"/>
        </w:rPr>
        <w:t>μL</w:t>
      </w:r>
      <w:proofErr w:type="spellEnd"/>
      <w:r w:rsidR="002332A2" w:rsidRPr="00F13A0A">
        <w:rPr>
          <w:rFonts w:ascii="Times New Roman" w:hAnsi="Times New Roman"/>
          <w:sz w:val="24"/>
          <w:szCs w:val="24"/>
        </w:rPr>
        <w:t xml:space="preserve"> 25X fragmentation buffer in a 25 </w:t>
      </w:r>
      <w:proofErr w:type="spellStart"/>
      <w:r w:rsidR="002332A2" w:rsidRPr="00F13A0A">
        <w:rPr>
          <w:rFonts w:ascii="Times New Roman" w:hAnsi="Times New Roman"/>
          <w:sz w:val="24"/>
          <w:szCs w:val="24"/>
        </w:rPr>
        <w:t>μL</w:t>
      </w:r>
      <w:proofErr w:type="spellEnd"/>
      <w:r w:rsidR="002332A2" w:rsidRPr="00F13A0A">
        <w:rPr>
          <w:rFonts w:ascii="Times New Roman" w:hAnsi="Times New Roman"/>
          <w:sz w:val="24"/>
          <w:szCs w:val="24"/>
        </w:rPr>
        <w:t xml:space="preserve"> reaction volume at 65 °C for 30 min. GE Hybridisation Buffer Hi-RPM (2X; 25 </w:t>
      </w:r>
      <w:proofErr w:type="spellStart"/>
      <w:r w:rsidR="002332A2" w:rsidRPr="00F13A0A">
        <w:rPr>
          <w:rFonts w:ascii="Times New Roman" w:hAnsi="Times New Roman"/>
          <w:sz w:val="24"/>
          <w:szCs w:val="24"/>
        </w:rPr>
        <w:t>μL</w:t>
      </w:r>
      <w:proofErr w:type="spellEnd"/>
      <w:r w:rsidR="002332A2" w:rsidRPr="00F13A0A">
        <w:rPr>
          <w:rFonts w:ascii="Times New Roman" w:hAnsi="Times New Roman"/>
          <w:sz w:val="24"/>
          <w:szCs w:val="24"/>
        </w:rPr>
        <w:t xml:space="preserve">) was added to fragmented </w:t>
      </w:r>
      <w:proofErr w:type="spellStart"/>
      <w:r w:rsidR="002332A2" w:rsidRPr="00F13A0A">
        <w:rPr>
          <w:rFonts w:ascii="Times New Roman" w:hAnsi="Times New Roman"/>
          <w:sz w:val="24"/>
          <w:szCs w:val="24"/>
        </w:rPr>
        <w:t>cRNA</w:t>
      </w:r>
      <w:proofErr w:type="spellEnd"/>
      <w:r w:rsidR="002332A2" w:rsidRPr="00F13A0A">
        <w:rPr>
          <w:rFonts w:ascii="Times New Roman" w:hAnsi="Times New Roman"/>
          <w:sz w:val="24"/>
          <w:szCs w:val="24"/>
        </w:rPr>
        <w:t xml:space="preserve">, mixed and placed onto the Agilent </w:t>
      </w:r>
      <w:proofErr w:type="spellStart"/>
      <w:r w:rsidR="002332A2" w:rsidRPr="00F13A0A">
        <w:rPr>
          <w:rFonts w:ascii="Times New Roman" w:hAnsi="Times New Roman"/>
          <w:sz w:val="24"/>
          <w:szCs w:val="24"/>
        </w:rPr>
        <w:t>SurePrint</w:t>
      </w:r>
      <w:proofErr w:type="spellEnd"/>
      <w:r w:rsidR="002332A2" w:rsidRPr="00F13A0A">
        <w:rPr>
          <w:rFonts w:ascii="Times New Roman" w:hAnsi="Times New Roman"/>
          <w:sz w:val="24"/>
          <w:szCs w:val="24"/>
        </w:rPr>
        <w:t xml:space="preserve"> G3 Human GE 8x60K. Hybridisation was performed at 65 °C for 17 h by rotating the mixture at 10 rpm. Microarray slides were washed in GE Wash Buffer 1 for 2 min and pre-warmed GE Wash Buffer 2 at room temperature for 2 min. The slides were then scanned in an Agilent Scanner G2505B (Agilent Technologies, CA, USA). The scanned image was extracted using the Agilent Feature Extraction Software version 9.5.1.1 (Agilent Technologies, CA, USA).</w:t>
      </w:r>
    </w:p>
    <w:p w14:paraId="7E19B292" w14:textId="77777777" w:rsidR="002332A2" w:rsidRPr="00F13A0A" w:rsidRDefault="002332A2" w:rsidP="007E5E2A">
      <w:pPr>
        <w:pStyle w:val="NormalUiTMParagraph1"/>
      </w:pPr>
    </w:p>
    <w:p w14:paraId="3AE48459" w14:textId="42F90E29" w:rsidR="002332A2" w:rsidRPr="00F13A0A" w:rsidRDefault="002332A2" w:rsidP="007E5E2A">
      <w:pPr>
        <w:pStyle w:val="Heading4"/>
        <w:numPr>
          <w:ilvl w:val="0"/>
          <w:numId w:val="1"/>
        </w:numPr>
        <w:spacing w:line="360" w:lineRule="auto"/>
      </w:pPr>
      <w:r w:rsidRPr="00F13A0A">
        <w:lastRenderedPageBreak/>
        <w:t>Data processing of microarray</w:t>
      </w:r>
    </w:p>
    <w:p w14:paraId="6BB6272A" w14:textId="77777777" w:rsidR="002332A2" w:rsidRPr="00F13A0A" w:rsidRDefault="002332A2" w:rsidP="007E5E2A">
      <w:pPr>
        <w:pStyle w:val="NormalUiTMParagraph1"/>
      </w:pPr>
      <w:r w:rsidRPr="00F13A0A">
        <w:t xml:space="preserve">The microarray scanned images were normalised and analysed using the </w:t>
      </w:r>
      <w:proofErr w:type="spellStart"/>
      <w:r w:rsidRPr="00F13A0A">
        <w:t>GeneSpring</w:t>
      </w:r>
      <w:proofErr w:type="spellEnd"/>
      <w:r w:rsidRPr="00F13A0A">
        <w:t xml:space="preserve"> GX 12.0 Software (Agilent Technologies, CA, USA). Signals were normalised against the quantile with threshold raw signal to 1.0 and the median of all samples. Baseline transformation was conducted using the median of all samples as a baseline for batch effect removal. The quality and reproducibility of the microarray data were subjected to the Principal Component Analysis (PCA). This was subsequently followed by a four-step filtering process [by expression, flags, data set and finally 20% coefficient of variation (CV)]. The data has been made available in the National Centre for Biotechnology Information’s (NCBI) Gene Expression Omnibus and are accessible through GEO series accession number GSE85426 (https://www.ncbi.nlm.nih.gov/geo/query/acc.cgi?acc=GSE85426). </w:t>
      </w:r>
    </w:p>
    <w:p w14:paraId="4609787C" w14:textId="77777777" w:rsidR="002332A2" w:rsidRPr="00F13A0A" w:rsidRDefault="002332A2" w:rsidP="007E5E2A">
      <w:pPr>
        <w:tabs>
          <w:tab w:val="left" w:pos="0"/>
        </w:tabs>
        <w:spacing w:after="0"/>
        <w:rPr>
          <w:rFonts w:ascii="Times New Roman" w:hAnsi="Times New Roman"/>
          <w:sz w:val="24"/>
          <w:szCs w:val="24"/>
        </w:rPr>
      </w:pPr>
    </w:p>
    <w:p w14:paraId="745FFB32" w14:textId="2143CE30" w:rsidR="002332A2" w:rsidRPr="00F13A0A" w:rsidRDefault="002332A2" w:rsidP="007E5E2A">
      <w:pPr>
        <w:pStyle w:val="Heading4"/>
        <w:numPr>
          <w:ilvl w:val="0"/>
          <w:numId w:val="1"/>
        </w:numPr>
        <w:spacing w:line="360" w:lineRule="auto"/>
        <w:rPr>
          <w:rStyle w:val="apple-style-span"/>
          <w:b w:val="0"/>
          <w:bCs w:val="0"/>
          <w:i/>
        </w:rPr>
      </w:pPr>
      <w:r w:rsidRPr="00F13A0A">
        <w:rPr>
          <w:rStyle w:val="apple-style-span"/>
        </w:rPr>
        <w:t>Diagnostic classifier development</w:t>
      </w:r>
    </w:p>
    <w:p w14:paraId="21349850" w14:textId="61784732" w:rsidR="002332A2" w:rsidRPr="00F13A0A" w:rsidRDefault="002332A2" w:rsidP="007E5E2A">
      <w:pPr>
        <w:pStyle w:val="NormalUiTMParagraph1"/>
      </w:pPr>
      <w:r w:rsidRPr="00F13A0A">
        <w:t xml:space="preserve">The </w:t>
      </w:r>
      <w:proofErr w:type="spellStart"/>
      <w:r w:rsidRPr="00F13A0A">
        <w:t>Benjamini</w:t>
      </w:r>
      <w:proofErr w:type="spellEnd"/>
      <w:r w:rsidRPr="00F13A0A">
        <w:t xml:space="preserve"> Hochberg false discovery rate (FDR) multiple testing correction with </w:t>
      </w:r>
      <w:r w:rsidRPr="00F13A0A">
        <w:rPr>
          <w:i/>
        </w:rPr>
        <w:t>p</w:t>
      </w:r>
      <w:r w:rsidRPr="00F13A0A">
        <w:t xml:space="preserve"> &lt; 0.05 was applied on genes with regulation in expression levels of fold change (FC) ≥ 2.0 </w:t>
      </w:r>
      <w:r w:rsidRPr="00F13A0A">
        <w:fldChar w:fldCharType="begin">
          <w:fldData xml:space="preserve">PEVuZE5vdGU+PENpdGU+PEF1dGhvcj5Jcml6YXJyeTwvQXV0aG9yPjxZZWFyPjIwMDU8L1llYXI+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</w:fldData>
        </w:fldChar>
      </w:r>
      <w:r w:rsidR="00540747" w:rsidRPr="00F13A0A">
        <w:instrText xml:space="preserve"> ADDIN EN.CITE </w:instrText>
      </w:r>
      <w:r w:rsidR="00540747" w:rsidRPr="00F13A0A">
        <w:fldChar w:fldCharType="begin">
          <w:fldData xml:space="preserve">PEVuZE5vdGU+PENpdGU+PEF1dGhvcj5Jcml6YXJyeTwvQXV0aG9yPjxZZWFyPjIwMDU8L1llYXI+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</w:fldData>
        </w:fldChar>
      </w:r>
      <w:r w:rsidR="00540747" w:rsidRPr="00F13A0A">
        <w:instrText xml:space="preserve"> ADDIN EN.CITE.DATA </w:instrText>
      </w:r>
      <w:r w:rsidR="00540747" w:rsidRPr="00F13A0A">
        <w:fldChar w:fldCharType="end"/>
      </w:r>
      <w:r w:rsidRPr="00F13A0A">
        <w:fldChar w:fldCharType="separate"/>
      </w:r>
      <w:r w:rsidR="00540747" w:rsidRPr="00F13A0A">
        <w:rPr>
          <w:noProof/>
        </w:rPr>
        <w:t>(Irizarry et al. 2005; Dunckley et al. 2006)</w:t>
      </w:r>
      <w:r w:rsidRPr="00F13A0A">
        <w:fldChar w:fldCharType="end"/>
      </w:r>
      <w:r w:rsidRPr="00F13A0A">
        <w:t xml:space="preserve">. Probes that did not have official gene symbols were excluded. The mean of the selected gene expression levels was determined for both the probable AD and NDC groups. After calculation of the z-score for each gene, gene clustering was performed by unsupervised clustering using a hierarchical algorithm (HCA) based on an average linkage method and Euclidean distance created by the </w:t>
      </w:r>
      <w:proofErr w:type="spellStart"/>
      <w:r w:rsidRPr="00F13A0A">
        <w:t>GeneSpring</w:t>
      </w:r>
      <w:proofErr w:type="spellEnd"/>
      <w:r w:rsidRPr="00F13A0A">
        <w:t xml:space="preserve"> GX12. HCA was used to group similar gene expression patterns across probable AD patients and NDCs. Next, multivariate of the partial least square discriminant analysis (PLSDA) was performed using the </w:t>
      </w:r>
      <w:proofErr w:type="spellStart"/>
      <w:r w:rsidRPr="00F13A0A">
        <w:t>GeneSpring</w:t>
      </w:r>
      <w:proofErr w:type="spellEnd"/>
      <w:r w:rsidRPr="00F13A0A">
        <w:t xml:space="preserve"> GX 12.0 (Agilent Technologies, CA, USA) for determination of accuracy, sensitivity and specificity of selected genes. The area under receiver operating curve characteristic (ROC AUC) analysis was then performed to validate the significance of genes (based on AUC) and to determine both positive predictive value (PPV) and negative predictive value (NPV). A rough guide for measuring the utility of a biomarker based on its AUC is as follows: 0.90 – 1.00 = excellent; 0.80 – 0.90 = good; 0.70 – 0.80 = fair; 0.60 – 0.70 = poor; 0.50 – 0.60 = fail. The Pearson’s correlation test was utilised to verify possible confounders in any bivariate correlation </w:t>
      </w:r>
      <w:r w:rsidRPr="00F13A0A">
        <w:fldChar w:fldCharType="begin"/>
      </w:r>
      <w:r w:rsidR="00540747" w:rsidRPr="00F13A0A">
        <w:instrText xml:space="preserve"> ADDIN EN.CITE &lt;EndNote&gt;&lt;Cite&gt;&lt;Author&gt;Brazma&lt;/Author&gt;&lt;Year&gt;2009&lt;/Year&gt;&lt;RecNum&gt;11&lt;/RecNum&gt;&lt;DisplayText&gt;(Brazma 2009)&lt;/DisplayText&gt;&lt;record&gt;&lt;rec-number&gt;11&lt;/rec-number&gt;&lt;foreign-keys&gt;&lt;key app="EN" db-id="xfp9zxr0052950ep90vpp25lxwrpx0wtswvw" timestamp="1653036420"&gt;11&lt;/key&gt;&lt;/foreign-keys&gt;&lt;ref-type name="Journal Article"&gt;17&lt;/ref-type&gt;&lt;contributors&gt;&lt;authors&gt;&lt;author&gt;Brazma, Alvis&lt;/author&gt;&lt;/authors&gt;&lt;/contributors&gt;&lt;titles&gt;&lt;title&gt;Minimum Information About a Microarray Experiment (MIAME)-successes, failures, challenges &lt;/title&gt;&lt;secondary-title&gt;ScientificWorldJournal&lt;/secondary-title&gt;&lt;/titles&gt;&lt;periodical&gt;&lt;full-title&gt;ScientificWorldJournal&lt;/full-title&gt;&lt;/periodical&gt;&lt;pages&gt;420-423&lt;/pages&gt;&lt;volume&gt;9&lt;/volume&gt;&lt;dates&gt;&lt;year&gt;2009&lt;/year&gt;&lt;/dates&gt;&lt;urls&gt;&lt;/urls&gt;&lt;/record&gt;&lt;/Cite&gt;&lt;/EndNote&gt;</w:instrText>
      </w:r>
      <w:r w:rsidRPr="00F13A0A">
        <w:fldChar w:fldCharType="separate"/>
      </w:r>
      <w:r w:rsidR="00540747" w:rsidRPr="00F13A0A">
        <w:rPr>
          <w:noProof/>
        </w:rPr>
        <w:t>(Brazma 2009)</w:t>
      </w:r>
      <w:r w:rsidRPr="00F13A0A">
        <w:fldChar w:fldCharType="end"/>
      </w:r>
      <w:r w:rsidRPr="00F13A0A">
        <w:t>.</w:t>
      </w:r>
    </w:p>
    <w:p w14:paraId="79C4054F" w14:textId="77777777" w:rsidR="002332A2" w:rsidRPr="00F13A0A" w:rsidRDefault="002332A2" w:rsidP="007E5E2A">
      <w:pPr>
        <w:pStyle w:val="NormalUiTMParagraph1"/>
      </w:pPr>
    </w:p>
    <w:p w14:paraId="700C9624" w14:textId="26D20156" w:rsidR="002332A2" w:rsidRPr="00F13A0A" w:rsidRDefault="002332A2" w:rsidP="007E5E2A">
      <w:pPr>
        <w:pStyle w:val="Heading4"/>
        <w:numPr>
          <w:ilvl w:val="0"/>
          <w:numId w:val="1"/>
        </w:numPr>
        <w:spacing w:line="360" w:lineRule="auto"/>
      </w:pPr>
      <w:r w:rsidRPr="00F13A0A">
        <w:t>Gene ontology and pathway analysis</w:t>
      </w:r>
    </w:p>
    <w:p w14:paraId="2DE8D964" w14:textId="77777777" w:rsidR="002332A2" w:rsidRPr="00F13A0A" w:rsidRDefault="002332A2" w:rsidP="007E5E2A">
      <w:pPr>
        <w:pStyle w:val="NormalUiTMParagraph1"/>
      </w:pPr>
      <w:r w:rsidRPr="00F13A0A">
        <w:t xml:space="preserve">In order to systematically elucidate the biological functions of genes discovered in AD, gene ontology (GO) was performed using the Database for Annotation, Visualisation and Integrated </w:t>
      </w:r>
      <w:r w:rsidRPr="00F13A0A">
        <w:lastRenderedPageBreak/>
        <w:t xml:space="preserve">Discovery (DAVID) v 6.7.14. GO with unadjusted </w:t>
      </w:r>
      <w:r w:rsidRPr="00F13A0A">
        <w:rPr>
          <w:i/>
        </w:rPr>
        <w:t>p</w:t>
      </w:r>
      <w:r w:rsidRPr="00F13A0A">
        <w:t xml:space="preserve"> &lt; 0.01. Significant and differentially expressed genes were also subjected to the Ingenuity Pathway Analysis (IPA, Ingenuity Systems, www.ingenuity.com, USA) to highlight deregulated canonical pathway. In the Ingenuity Pathway Knowledge Base, the respective gene identifier was mapped to its analogous gene entities. Consequently, genes from the dataset were put into a global molecular network derived from information contained in the knowledge base to create a gene network. The Fisher’s exact test was used to calculate </w:t>
      </w:r>
      <w:r w:rsidRPr="00F13A0A">
        <w:rPr>
          <w:i/>
          <w:iCs/>
        </w:rPr>
        <w:t>p</w:t>
      </w:r>
      <w:r w:rsidRPr="00F13A0A">
        <w:t xml:space="preserve">-value for the likelihood by chance alone of the association between the canonical pathway and the genes in the dataset. Gene networks were then algorithmically generated based on their connectivity. The DAVID v6.7 (http://david.abcc. ncirf.gov) Gene Functional Classification Tool was adopted for functional analysis of the genes. </w:t>
      </w:r>
    </w:p>
    <w:p w14:paraId="58E8A3F9" w14:textId="77777777" w:rsidR="002332A2" w:rsidRPr="00F13A0A" w:rsidRDefault="002332A2" w:rsidP="007E5E2A">
      <w:pPr>
        <w:pStyle w:val="Heading4"/>
        <w:spacing w:line="360" w:lineRule="auto"/>
      </w:pPr>
    </w:p>
    <w:p w14:paraId="6FE76EB5" w14:textId="2377130C" w:rsidR="002332A2" w:rsidRPr="00F13A0A" w:rsidRDefault="00FD6008" w:rsidP="007E5E2A">
      <w:pPr>
        <w:pStyle w:val="Heading4"/>
        <w:spacing w:line="360" w:lineRule="auto"/>
      </w:pPr>
      <w:r>
        <w:t xml:space="preserve">Method S4: </w:t>
      </w:r>
      <w:bookmarkStart w:id="4" w:name="_Hlk136606885"/>
      <w:r w:rsidR="002332A2" w:rsidRPr="00F13A0A">
        <w:t xml:space="preserve">Real time quantitative-PCR (RT-qPCR) of blood samples from the training and validation cohorts </w:t>
      </w:r>
      <w:bookmarkEnd w:id="4"/>
    </w:p>
    <w:p w14:paraId="1C8EFB22" w14:textId="0008BB6A" w:rsidR="002332A2" w:rsidRPr="00F13A0A" w:rsidRDefault="002332A2" w:rsidP="007E5E2A">
      <w:pPr>
        <w:pStyle w:val="NormalUiTMParagraph1"/>
      </w:pPr>
      <w:r w:rsidRPr="00F13A0A">
        <w:t xml:space="preserve">Only six genes with FC ≥ 2.0 (namely </w:t>
      </w:r>
      <w:r w:rsidRPr="00F13A0A">
        <w:rPr>
          <w:i/>
        </w:rPr>
        <w:t>DDIT4</w:t>
      </w:r>
      <w:r w:rsidRPr="00F13A0A">
        <w:t xml:space="preserve">, </w:t>
      </w:r>
      <w:r w:rsidRPr="00F13A0A">
        <w:rPr>
          <w:i/>
        </w:rPr>
        <w:t>CNOT8</w:t>
      </w:r>
      <w:r w:rsidRPr="00F13A0A">
        <w:t xml:space="preserve">, </w:t>
      </w:r>
      <w:r w:rsidRPr="00F13A0A">
        <w:rPr>
          <w:i/>
        </w:rPr>
        <w:t>SESN1</w:t>
      </w:r>
      <w:r w:rsidRPr="00F13A0A">
        <w:t xml:space="preserve">, </w:t>
      </w:r>
      <w:r w:rsidRPr="00F13A0A">
        <w:rPr>
          <w:i/>
        </w:rPr>
        <w:t>MAP2K1</w:t>
      </w:r>
      <w:r w:rsidRPr="00F13A0A">
        <w:t xml:space="preserve">, </w:t>
      </w:r>
      <w:r w:rsidRPr="00F13A0A">
        <w:rPr>
          <w:i/>
        </w:rPr>
        <w:t>ABCA9</w:t>
      </w:r>
      <w:r w:rsidRPr="00F13A0A">
        <w:t xml:space="preserve"> and </w:t>
      </w:r>
      <w:r w:rsidRPr="00F13A0A">
        <w:rPr>
          <w:i/>
        </w:rPr>
        <w:t>UCP3</w:t>
      </w:r>
      <w:r w:rsidRPr="00F13A0A">
        <w:t>) were selected based on their significant up or downregulation (</w:t>
      </w:r>
      <w:r w:rsidRPr="00F13A0A">
        <w:rPr>
          <w:bCs w:val="0"/>
          <w:i/>
          <w:iCs/>
        </w:rPr>
        <w:t>p</w:t>
      </w:r>
      <w:r w:rsidRPr="00F13A0A">
        <w:t xml:space="preserve"> &lt; 0.05) for verification of the microarray results using the RT-qPCR technique. 30 AD subjects and 30 NDCs were randomly selected from the training cohort. Total RNA (1 µg) was reverse transcribed (20 µL) to cDNA using the Tetro cDNA Synthesis Kit (</w:t>
      </w:r>
      <w:proofErr w:type="spellStart"/>
      <w:r w:rsidRPr="00F13A0A">
        <w:t>Bioline</w:t>
      </w:r>
      <w:proofErr w:type="spellEnd"/>
      <w:r w:rsidRPr="00F13A0A">
        <w:t xml:space="preserve">, USA). The ensemble database was referred for primer design (www.ensembl.org) and synthesised by Integrated DNA Technologies (Table </w:t>
      </w:r>
      <w:r w:rsidR="00F74299" w:rsidRPr="00F13A0A">
        <w:t>S</w:t>
      </w:r>
      <w:r w:rsidRPr="00F13A0A">
        <w:t xml:space="preserve">1). RT-qPCR was performed in triplicates using the Corbett 3000 </w:t>
      </w:r>
      <w:proofErr w:type="spellStart"/>
      <w:r w:rsidRPr="00F13A0A">
        <w:t>RotorGene</w:t>
      </w:r>
      <w:proofErr w:type="spellEnd"/>
      <w:r w:rsidRPr="00F13A0A">
        <w:t xml:space="preserve"> (</w:t>
      </w:r>
      <w:r w:rsidRPr="00F13A0A">
        <w:rPr>
          <w:color w:val="000000" w:themeColor="text1"/>
        </w:rPr>
        <w:t xml:space="preserve">Corbett Research, </w:t>
      </w:r>
      <w:r w:rsidRPr="00F13A0A">
        <w:rPr>
          <w:rStyle w:val="apple-style-span"/>
        </w:rPr>
        <w:t>NSW, Australia</w:t>
      </w:r>
      <w:r w:rsidRPr="00F13A0A">
        <w:t>) with a final volume of 20 µL [</w:t>
      </w:r>
      <w:proofErr w:type="spellStart"/>
      <w:r w:rsidRPr="00F13A0A">
        <w:t>Sensifast</w:t>
      </w:r>
      <w:proofErr w:type="spellEnd"/>
      <w:r w:rsidRPr="00F13A0A">
        <w:t xml:space="preserve"> SYBR No ROX Kit (</w:t>
      </w:r>
      <w:proofErr w:type="spellStart"/>
      <w:r w:rsidRPr="00F13A0A">
        <w:t>Bioline</w:t>
      </w:r>
      <w:proofErr w:type="spellEnd"/>
      <w:r w:rsidRPr="00F13A0A">
        <w:t xml:space="preserve">, USA)]. </w:t>
      </w:r>
      <w:r w:rsidRPr="00F13A0A">
        <w:rPr>
          <w:rFonts w:eastAsia="Times New Roman"/>
        </w:rPr>
        <w:t xml:space="preserve">The conditions used were as follows: initial polymerase enzyme activation step (95⁰C for 2 min), followed by 40 cycles of denaturation (95⁰C for 5 sec) and finally annealing/ extension (60⁰C for 15 sec). Subsequent melt curve analysis was carried out using the following conditions: 95 °C for 15 min, 60 °C for 1 min and 95 °C for 15 min. </w:t>
      </w:r>
      <w:r w:rsidRPr="00F13A0A">
        <w:t xml:space="preserve">The housekeeping genes, β-Actin and glyceraldehyde-3-phosphate dehydrogenase (GAPDH), were used as references for normalisation of target cDNAs. The FC in AD was determined by the </w:t>
      </w:r>
      <w:proofErr w:type="spellStart"/>
      <w:r w:rsidRPr="00F13A0A">
        <w:t>Pfaffl</w:t>
      </w:r>
      <w:proofErr w:type="spellEnd"/>
      <w:r w:rsidRPr="00F13A0A">
        <w:t xml:space="preserve"> method </w:t>
      </w:r>
      <w:r w:rsidRPr="00F13A0A">
        <w:fldChar w:fldCharType="begin"/>
      </w:r>
      <w:r w:rsidR="00540747" w:rsidRPr="00F13A0A">
        <w:instrText xml:space="preserve"> ADDIN EN.CITE &lt;EndNote&gt;&lt;Cite&gt;&lt;Author&gt;Pfaffl&lt;/Author&gt;&lt;Year&gt;2001&lt;/Year&gt;&lt;RecNum&gt;12&lt;/RecNum&gt;&lt;DisplayText&gt;(Pfaffl 2001)&lt;/DisplayText&gt;&lt;record&gt;&lt;rec-number&gt;12&lt;/rec-number&gt;&lt;foreign-keys&gt;&lt;key app="EN" db-id="xfp9zxr0052950ep90vpp25lxwrpx0wtswvw" timestamp="1653036532"&gt;12&lt;/key&gt;&lt;/foreign-keys&gt;&lt;ref-type name="Journal Article"&gt;17&lt;/ref-type&gt;&lt;contributors&gt;&lt;authors&gt;&lt;author&gt;Pfaffl, M W &lt;/author&gt;&lt;/authors&gt;&lt;/contributors&gt;&lt;titles&gt;&lt;title&gt;A new mathematical model for relative quantification in real-time RT-PCR.&lt;/title&gt;&lt;secondary-title&gt;Nucleic Acids Res&lt;/secondary-title&gt;&lt;/titles&gt;&lt;periodical&gt;&lt;full-title&gt;Nucleic Acids Res&lt;/full-title&gt;&lt;/periodical&gt;&lt;pages&gt;e45. https://doi.org/10.1093/nar/29.9.e45&lt;/pages&gt;&lt;volume&gt;29&lt;/volume&gt;&lt;number&gt;9&lt;/number&gt;&lt;dates&gt;&lt;year&gt;2001&lt;/year&gt;&lt;/dates&gt;&lt;urls&gt;&lt;/urls&gt;&lt;/record&gt;&lt;/Cite&gt;&lt;/EndNote&gt;</w:instrText>
      </w:r>
      <w:r w:rsidRPr="00F13A0A">
        <w:fldChar w:fldCharType="separate"/>
      </w:r>
      <w:r w:rsidR="00540747" w:rsidRPr="00F13A0A">
        <w:rPr>
          <w:noProof/>
        </w:rPr>
        <w:t>(Pfaffl 2001)</w:t>
      </w:r>
      <w:r w:rsidRPr="00F13A0A">
        <w:fldChar w:fldCharType="end"/>
      </w:r>
      <w:r w:rsidRPr="00F13A0A">
        <w:t>. The panel of six genes was finally evaluated in the validation cohort (independent of microarray study, Fig</w:t>
      </w:r>
      <w:r w:rsidR="00F74299" w:rsidRPr="00F13A0A">
        <w:t>ure</w:t>
      </w:r>
      <w:r w:rsidRPr="00F13A0A">
        <w:t xml:space="preserve"> </w:t>
      </w:r>
      <w:r w:rsidR="00F74299" w:rsidRPr="00F13A0A">
        <w:t>S</w:t>
      </w:r>
      <w:r w:rsidRPr="00F13A0A">
        <w:t xml:space="preserve">1) which comprised of 74 subjects, (25 AD, 25 NDC, 12 MCI and 12 </w:t>
      </w:r>
      <w:proofErr w:type="spellStart"/>
      <w:r w:rsidRPr="00F13A0A">
        <w:t>VaD</w:t>
      </w:r>
      <w:proofErr w:type="spellEnd"/>
      <w:r w:rsidRPr="00F13A0A">
        <w:t xml:space="preserve">). </w:t>
      </w:r>
    </w:p>
    <w:p w14:paraId="3445180D" w14:textId="77777777" w:rsidR="002332A2" w:rsidRPr="00F13A0A" w:rsidRDefault="002332A2" w:rsidP="007E5E2A">
      <w:pPr>
        <w:keepNext/>
        <w:keepLines/>
        <w:spacing w:after="0"/>
        <w:contextualSpacing/>
        <w:outlineLvl w:val="3"/>
        <w:rPr>
          <w:rFonts w:ascii="Times New Roman" w:hAnsi="Times New Roman"/>
          <w:b/>
          <w:bCs/>
          <w:sz w:val="24"/>
          <w:szCs w:val="24"/>
          <w:highlight w:val="yellow"/>
        </w:rPr>
      </w:pPr>
    </w:p>
    <w:p w14:paraId="749B6394" w14:textId="77777777" w:rsidR="007E5E2A" w:rsidRDefault="007E5E2A" w:rsidP="007E5E2A">
      <w:pPr>
        <w:spacing w:after="0"/>
        <w:rPr>
          <w:rFonts w:ascii="Times New Roman" w:hAnsi="Times New Roman"/>
          <w:b/>
          <w:bCs/>
          <w:sz w:val="24"/>
          <w:szCs w:val="24"/>
        </w:rPr>
      </w:pPr>
    </w:p>
    <w:p w14:paraId="526BB3AA" w14:textId="77777777" w:rsidR="007E5E2A" w:rsidRDefault="007E5E2A" w:rsidP="007E5E2A">
      <w:pPr>
        <w:spacing w:after="0"/>
        <w:rPr>
          <w:rFonts w:ascii="Times New Roman" w:hAnsi="Times New Roman"/>
          <w:b/>
          <w:bCs/>
          <w:sz w:val="24"/>
          <w:szCs w:val="24"/>
        </w:rPr>
      </w:pPr>
    </w:p>
    <w:p w14:paraId="601EF7C5" w14:textId="084822CC" w:rsidR="002332A2" w:rsidRPr="00F13A0A" w:rsidRDefault="00610303" w:rsidP="007E5E2A">
      <w:pPr>
        <w:spacing w:after="0"/>
        <w:rPr>
          <w:rFonts w:ascii="Times New Roman" w:hAnsi="Times New Roman"/>
          <w:b/>
          <w:bCs/>
          <w:sz w:val="24"/>
          <w:szCs w:val="24"/>
        </w:rPr>
      </w:pPr>
      <w:r w:rsidRPr="00F13A0A">
        <w:rPr>
          <w:rFonts w:ascii="Times New Roman" w:hAnsi="Times New Roman"/>
          <w:b/>
          <w:bCs/>
          <w:sz w:val="24"/>
          <w:szCs w:val="24"/>
        </w:rPr>
        <w:lastRenderedPageBreak/>
        <w:t>Reference:</w:t>
      </w:r>
    </w:p>
    <w:p w14:paraId="237E0261" w14:textId="77777777" w:rsidR="00540747" w:rsidRPr="00F13A0A" w:rsidRDefault="002332A2"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fldChar w:fldCharType="begin"/>
      </w:r>
      <w:r w:rsidRPr="00F13A0A">
        <w:rPr>
          <w:rFonts w:ascii="Times New Roman" w:hAnsi="Times New Roman" w:cs="Times New Roman"/>
          <w:sz w:val="24"/>
          <w:szCs w:val="24"/>
        </w:rPr>
        <w:instrText xml:space="preserve"> ADDIN EN.REFLIST </w:instrText>
      </w:r>
      <w:r w:rsidRPr="00F13A0A">
        <w:rPr>
          <w:rFonts w:ascii="Times New Roman" w:hAnsi="Times New Roman" w:cs="Times New Roman"/>
          <w:sz w:val="24"/>
          <w:szCs w:val="24"/>
        </w:rPr>
        <w:fldChar w:fldCharType="separate"/>
      </w:r>
      <w:r w:rsidR="00540747" w:rsidRPr="00F13A0A">
        <w:rPr>
          <w:rFonts w:ascii="Times New Roman" w:hAnsi="Times New Roman" w:cs="Times New Roman"/>
          <w:sz w:val="24"/>
          <w:szCs w:val="24"/>
        </w:rPr>
        <w:t xml:space="preserve">American Psychiatric Association. 1994. </w:t>
      </w:r>
      <w:r w:rsidR="00540747" w:rsidRPr="00F13A0A">
        <w:rPr>
          <w:rFonts w:ascii="Times New Roman" w:hAnsi="Times New Roman" w:cs="Times New Roman"/>
          <w:i/>
          <w:sz w:val="24"/>
          <w:szCs w:val="24"/>
        </w:rPr>
        <w:t>Diagnostic and statistical manual of mental disorders</w:t>
      </w:r>
      <w:r w:rsidR="00540747" w:rsidRPr="00F13A0A">
        <w:rPr>
          <w:rFonts w:ascii="Times New Roman" w:hAnsi="Times New Roman" w:cs="Times New Roman"/>
          <w:sz w:val="24"/>
          <w:szCs w:val="24"/>
        </w:rPr>
        <w:t>. 4</w:t>
      </w:r>
      <w:r w:rsidR="00540747" w:rsidRPr="00F13A0A">
        <w:rPr>
          <w:rFonts w:ascii="Times New Roman" w:hAnsi="Times New Roman" w:cs="Times New Roman"/>
          <w:sz w:val="24"/>
          <w:szCs w:val="24"/>
          <w:vertAlign w:val="superscript"/>
        </w:rPr>
        <w:t>th</w:t>
      </w:r>
      <w:r w:rsidR="00540747" w:rsidRPr="00F13A0A">
        <w:rPr>
          <w:rFonts w:ascii="Times New Roman" w:hAnsi="Times New Roman" w:cs="Times New Roman"/>
          <w:sz w:val="24"/>
          <w:szCs w:val="24"/>
        </w:rPr>
        <w:t xml:space="preserve"> edition (DSM-IV) ed. Washington, D C.</w:t>
      </w:r>
    </w:p>
    <w:p w14:paraId="2D6C9B3B" w14:textId="77777777"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Brazma, Alvis. 2009. "Minimum Information About a Microarray Experiment (MIAME)-successes, failures, challenges " </w:t>
      </w:r>
      <w:r w:rsidRPr="00F13A0A">
        <w:rPr>
          <w:rFonts w:ascii="Times New Roman" w:hAnsi="Times New Roman" w:cs="Times New Roman"/>
          <w:i/>
          <w:sz w:val="24"/>
          <w:szCs w:val="24"/>
        </w:rPr>
        <w:t>ScientificWorldJournal</w:t>
      </w:r>
      <w:r w:rsidRPr="00F13A0A">
        <w:rPr>
          <w:rFonts w:ascii="Times New Roman" w:hAnsi="Times New Roman" w:cs="Times New Roman"/>
          <w:sz w:val="24"/>
          <w:szCs w:val="24"/>
        </w:rPr>
        <w:t xml:space="preserve"> 9: 420-423.</w:t>
      </w:r>
    </w:p>
    <w:p w14:paraId="6DAC8924" w14:textId="4E66252D"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Carlson, Robert V, Kenneth M Boyd, and David J  Webb. 2004. "The revision of the Declaration of Helsinki: past, present and future." </w:t>
      </w:r>
      <w:r w:rsidRPr="00F13A0A">
        <w:rPr>
          <w:rFonts w:ascii="Times New Roman" w:hAnsi="Times New Roman" w:cs="Times New Roman"/>
          <w:i/>
          <w:sz w:val="24"/>
          <w:szCs w:val="24"/>
        </w:rPr>
        <w:t>Br J Clin Pharmacol</w:t>
      </w:r>
      <w:r w:rsidRPr="00F13A0A">
        <w:rPr>
          <w:rFonts w:ascii="Times New Roman" w:hAnsi="Times New Roman" w:cs="Times New Roman"/>
          <w:sz w:val="24"/>
          <w:szCs w:val="24"/>
        </w:rPr>
        <w:t xml:space="preserve"> 57 (6): 695–713. </w:t>
      </w:r>
      <w:hyperlink r:id="rId5" w:history="1">
        <w:r w:rsidRPr="00F13A0A">
          <w:rPr>
            <w:rStyle w:val="Hyperlink"/>
            <w:rFonts w:ascii="Times New Roman" w:hAnsi="Times New Roman" w:cs="Times New Roman"/>
            <w:sz w:val="24"/>
            <w:szCs w:val="24"/>
          </w:rPr>
          <w:t>https://doi.org/https://doi.org/10.1111/j.1365-2125.2004.02103.x</w:t>
        </w:r>
      </w:hyperlink>
      <w:r w:rsidRPr="00F13A0A">
        <w:rPr>
          <w:rFonts w:ascii="Times New Roman" w:hAnsi="Times New Roman" w:cs="Times New Roman"/>
          <w:sz w:val="24"/>
          <w:szCs w:val="24"/>
        </w:rPr>
        <w:t>.</w:t>
      </w:r>
    </w:p>
    <w:p w14:paraId="3ED306E8" w14:textId="77777777"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Dunckley, Travis, Thomas G Beach, Keri E Ramsey, Andrew Grover, Diego Mastroeni, Douglas G Walker, Bonnie J LaFleur, Keith D Coon, Kevin M Brown, Richard Caselli, Walter Kukull, Roger Higdon, Daniel McKeel, John C Morris, Christine Hulette, Donald Schmechel, Eric M Reiman, Joseph Rogers, and Dietrich A  Stephan. 2006. "Gene expression correlates of neurofibrillary tangles in Alzheimer's disease " </w:t>
      </w:r>
      <w:r w:rsidRPr="00F13A0A">
        <w:rPr>
          <w:rFonts w:ascii="Times New Roman" w:hAnsi="Times New Roman" w:cs="Times New Roman"/>
          <w:i/>
          <w:sz w:val="24"/>
          <w:szCs w:val="24"/>
        </w:rPr>
        <w:t>Neurobiol Aging</w:t>
      </w:r>
      <w:r w:rsidRPr="00F13A0A">
        <w:rPr>
          <w:rFonts w:ascii="Times New Roman" w:hAnsi="Times New Roman" w:cs="Times New Roman"/>
          <w:sz w:val="24"/>
          <w:szCs w:val="24"/>
        </w:rPr>
        <w:t xml:space="preserve"> 27 (10): 1359-1371.</w:t>
      </w:r>
    </w:p>
    <w:p w14:paraId="1FDA54C1" w14:textId="77777777"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Hughes, C P, L Berg, W L Danziger, L A Coben, and R L Martin. 1982. "A new clinical scale for the staging of dementia " </w:t>
      </w:r>
      <w:r w:rsidRPr="00F13A0A">
        <w:rPr>
          <w:rFonts w:ascii="Times New Roman" w:hAnsi="Times New Roman" w:cs="Times New Roman"/>
          <w:i/>
          <w:sz w:val="24"/>
          <w:szCs w:val="24"/>
        </w:rPr>
        <w:t>Br J Psychiatry</w:t>
      </w:r>
      <w:r w:rsidRPr="00F13A0A">
        <w:rPr>
          <w:rFonts w:ascii="Times New Roman" w:hAnsi="Times New Roman" w:cs="Times New Roman"/>
          <w:sz w:val="24"/>
          <w:szCs w:val="24"/>
        </w:rPr>
        <w:t xml:space="preserve"> 140: 566-572.</w:t>
      </w:r>
    </w:p>
    <w:p w14:paraId="38A4C2C4" w14:textId="77777777"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Irizarry, Rafael A, Daniel Warren, Forrest Spencer, Irene F Kim, Shyam Biswal, Bryan C Frank, Edward Gabrielson, Joe G N Garcia , Joel Geoghegan, Gregory Germino, Constance Griffin, Sara C Hilmer, Eric Hoffman, Anne E Jedlicka, Ernest Kawasaki, Francisco Martínez-Murillo, Laura Morsberger, Hannah Lee, David Petersen, John Quackenbush, Alan Scott, Michael Wilson, Yanqin Yang, Shui Qing Ye, and Wayne Yu. 2005. "Multiple-laboratory comparison of microarray platforms." </w:t>
      </w:r>
      <w:r w:rsidRPr="00F13A0A">
        <w:rPr>
          <w:rFonts w:ascii="Times New Roman" w:hAnsi="Times New Roman" w:cs="Times New Roman"/>
          <w:i/>
          <w:sz w:val="24"/>
          <w:szCs w:val="24"/>
        </w:rPr>
        <w:t>Nat Methods</w:t>
      </w:r>
      <w:r w:rsidRPr="00F13A0A">
        <w:rPr>
          <w:rFonts w:ascii="Times New Roman" w:hAnsi="Times New Roman" w:cs="Times New Roman"/>
          <w:sz w:val="24"/>
          <w:szCs w:val="24"/>
        </w:rPr>
        <w:t xml:space="preserve"> 2 (5): 345-350.</w:t>
      </w:r>
    </w:p>
    <w:p w14:paraId="15E99470" w14:textId="2E13D976"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Mohd Hasni, Dayana Sazereen, Siong Meng Lim, Ai Vyrn Chin, Maw Pin Tan, Philip Jun Hua Poi, Shahrul Bahyah Kamaruzzaman, Abu Bakar Abdul Majeed, and Kalavathy Ramasamy. 2017. "Peripheral cytokines, C-X-C motif ligand10 and interleukin-13, are associated with Malaysian Alzheimer's disease." </w:t>
      </w:r>
      <w:r w:rsidRPr="00F13A0A">
        <w:rPr>
          <w:rFonts w:ascii="Times New Roman" w:hAnsi="Times New Roman" w:cs="Times New Roman"/>
          <w:i/>
          <w:sz w:val="24"/>
          <w:szCs w:val="24"/>
        </w:rPr>
        <w:t>Geriatr Gerontol Int</w:t>
      </w:r>
      <w:r w:rsidRPr="00F13A0A">
        <w:rPr>
          <w:rFonts w:ascii="Times New Roman" w:hAnsi="Times New Roman" w:cs="Times New Roman"/>
          <w:sz w:val="24"/>
          <w:szCs w:val="24"/>
        </w:rPr>
        <w:t xml:space="preserve"> 17 (5): 839-846. </w:t>
      </w:r>
      <w:hyperlink r:id="rId6" w:history="1">
        <w:r w:rsidRPr="00F13A0A">
          <w:rPr>
            <w:rStyle w:val="Hyperlink"/>
            <w:rFonts w:ascii="Times New Roman" w:hAnsi="Times New Roman" w:cs="Times New Roman"/>
            <w:sz w:val="24"/>
            <w:szCs w:val="24"/>
          </w:rPr>
          <w:t>https://doi.org/https://doi.org/10.1111/ggi.12783</w:t>
        </w:r>
      </w:hyperlink>
      <w:r w:rsidRPr="00F13A0A">
        <w:rPr>
          <w:rFonts w:ascii="Times New Roman" w:hAnsi="Times New Roman" w:cs="Times New Roman"/>
          <w:sz w:val="24"/>
          <w:szCs w:val="24"/>
        </w:rPr>
        <w:t>.</w:t>
      </w:r>
    </w:p>
    <w:p w14:paraId="3EAF7B6C" w14:textId="77777777"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Petersen, R C, G E Smith, S C Waring, R J Ivnik, E G Tangalos, and E Kokmen. 1999. "Mild cognitive impairment: clinical characterization and outcome." </w:t>
      </w:r>
      <w:r w:rsidRPr="00F13A0A">
        <w:rPr>
          <w:rFonts w:ascii="Times New Roman" w:hAnsi="Times New Roman" w:cs="Times New Roman"/>
          <w:i/>
          <w:sz w:val="24"/>
          <w:szCs w:val="24"/>
        </w:rPr>
        <w:t>Arch Neurol</w:t>
      </w:r>
      <w:r w:rsidRPr="00F13A0A">
        <w:rPr>
          <w:rFonts w:ascii="Times New Roman" w:hAnsi="Times New Roman" w:cs="Times New Roman"/>
          <w:sz w:val="24"/>
          <w:szCs w:val="24"/>
        </w:rPr>
        <w:t xml:space="preserve"> 56 (3): 303-308.</w:t>
      </w:r>
    </w:p>
    <w:p w14:paraId="73949173" w14:textId="7F6CA690"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Pfaffl, M W 2001. "A new mathematical model for relative quantification in real-time RT-PCR." </w:t>
      </w:r>
      <w:r w:rsidRPr="00F13A0A">
        <w:rPr>
          <w:rFonts w:ascii="Times New Roman" w:hAnsi="Times New Roman" w:cs="Times New Roman"/>
          <w:i/>
          <w:sz w:val="24"/>
          <w:szCs w:val="24"/>
        </w:rPr>
        <w:t>Nucleic Acids Res</w:t>
      </w:r>
      <w:r w:rsidRPr="00F13A0A">
        <w:rPr>
          <w:rFonts w:ascii="Times New Roman" w:hAnsi="Times New Roman" w:cs="Times New Roman"/>
          <w:sz w:val="24"/>
          <w:szCs w:val="24"/>
        </w:rPr>
        <w:t xml:space="preserve"> 29 (9): e45. </w:t>
      </w:r>
      <w:hyperlink r:id="rId7" w:history="1">
        <w:r w:rsidRPr="00F13A0A">
          <w:rPr>
            <w:rStyle w:val="Hyperlink"/>
            <w:rFonts w:ascii="Times New Roman" w:hAnsi="Times New Roman" w:cs="Times New Roman"/>
            <w:sz w:val="24"/>
            <w:szCs w:val="24"/>
          </w:rPr>
          <w:t>https://doi.org/10.1093/nar/29.9.e45</w:t>
        </w:r>
      </w:hyperlink>
      <w:r w:rsidRPr="00F13A0A">
        <w:rPr>
          <w:rFonts w:ascii="Times New Roman" w:hAnsi="Times New Roman" w:cs="Times New Roman"/>
          <w:sz w:val="24"/>
          <w:szCs w:val="24"/>
        </w:rPr>
        <w:t>.</w:t>
      </w:r>
    </w:p>
    <w:p w14:paraId="62A5F4EB" w14:textId="0CE7FC64"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Rehiman, Siti Hajar, Siong Meng Lim, Fei Tieng Lim, Ai-Vyrn Chin, Maw Pin Tan, Shahrul Bahyah Kamaruzzaman, Kalavathy Ramasamy, and Abu Bakar  Abdul Majeed. 2020. </w:t>
      </w:r>
      <w:r w:rsidRPr="00F13A0A">
        <w:rPr>
          <w:rFonts w:ascii="Times New Roman" w:hAnsi="Times New Roman" w:cs="Times New Roman"/>
          <w:sz w:val="24"/>
          <w:szCs w:val="24"/>
        </w:rPr>
        <w:lastRenderedPageBreak/>
        <w:t xml:space="preserve">"Fibrinogen isoforms as potential blood-based biomarkers of Alzheimer's disease using a proteomics approach." </w:t>
      </w:r>
      <w:r w:rsidRPr="00F13A0A">
        <w:rPr>
          <w:rFonts w:ascii="Times New Roman" w:hAnsi="Times New Roman" w:cs="Times New Roman"/>
          <w:i/>
          <w:sz w:val="24"/>
          <w:szCs w:val="24"/>
        </w:rPr>
        <w:t>Int J Neurosci</w:t>
      </w:r>
      <w:r w:rsidRPr="00F13A0A">
        <w:rPr>
          <w:rFonts w:ascii="Times New Roman" w:hAnsi="Times New Roman" w:cs="Times New Roman"/>
          <w:sz w:val="24"/>
          <w:szCs w:val="24"/>
        </w:rPr>
        <w:t xml:space="preserve">: </w:t>
      </w:r>
      <w:hyperlink r:id="rId8" w:history="1">
        <w:r w:rsidRPr="00F13A0A">
          <w:rPr>
            <w:rStyle w:val="Hyperlink"/>
            <w:rFonts w:ascii="Times New Roman" w:hAnsi="Times New Roman" w:cs="Times New Roman"/>
            <w:sz w:val="24"/>
            <w:szCs w:val="24"/>
          </w:rPr>
          <w:t>https://doi.org/10.1080/00207454.2020.1860038</w:t>
        </w:r>
      </w:hyperlink>
      <w:r w:rsidRPr="00F13A0A">
        <w:rPr>
          <w:rFonts w:ascii="Times New Roman" w:hAnsi="Times New Roman" w:cs="Times New Roman"/>
          <w:sz w:val="24"/>
          <w:szCs w:val="24"/>
        </w:rPr>
        <w:t>.</w:t>
      </w:r>
    </w:p>
    <w:p w14:paraId="0D0675C5" w14:textId="77777777"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Román, G C, T K Tatemichi, T Erkinjuntti, J L Cummings, J C Masdeu, J H Garcia, L Amaducci, J-M Orgogozo, A Brun, A Hofman, D M Moody, M D O'Brien, T Yamaguchi, J Grafman, B P Drayer, D A Bennett, M Fisher, J Ogata, E Kokmen, F Bermejo, P A Wolf, P B Gorelick, K L Bick, A K Pajeau, M A Bell, C DeCarli, A Culebras, A D Korczyn, J Bogousslavsky, A Hartmann, and P  Scheinberg. 1993. "Vascular dementia: diagnostic criteria for research studies. Report of the NINDS-AIREN International Workshop." </w:t>
      </w:r>
      <w:r w:rsidRPr="00F13A0A">
        <w:rPr>
          <w:rFonts w:ascii="Times New Roman" w:hAnsi="Times New Roman" w:cs="Times New Roman"/>
          <w:i/>
          <w:sz w:val="24"/>
          <w:szCs w:val="24"/>
        </w:rPr>
        <w:t>Neurology</w:t>
      </w:r>
      <w:r w:rsidRPr="00F13A0A">
        <w:rPr>
          <w:rFonts w:ascii="Times New Roman" w:hAnsi="Times New Roman" w:cs="Times New Roman"/>
          <w:sz w:val="24"/>
          <w:szCs w:val="24"/>
        </w:rPr>
        <w:t xml:space="preserve"> 43 (2): 250-260.</w:t>
      </w:r>
    </w:p>
    <w:p w14:paraId="69703783" w14:textId="77777777"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Varma, A R, J S Snowden, J J Lloyd, P R Talbot, D M Mann, and D Neary. 1999. "Evaluation of the NINCDS-ADRDA criteria in the differentiation of Alzheimer's disease and frontotemporal dementia " </w:t>
      </w:r>
      <w:r w:rsidRPr="00F13A0A">
        <w:rPr>
          <w:rFonts w:ascii="Times New Roman" w:hAnsi="Times New Roman" w:cs="Times New Roman"/>
          <w:i/>
          <w:sz w:val="24"/>
          <w:szCs w:val="24"/>
        </w:rPr>
        <w:t>J Neurol Neurosurg Psychiatry</w:t>
      </w:r>
      <w:r w:rsidRPr="00F13A0A">
        <w:rPr>
          <w:rFonts w:ascii="Times New Roman" w:hAnsi="Times New Roman" w:cs="Times New Roman"/>
          <w:sz w:val="24"/>
          <w:szCs w:val="24"/>
        </w:rPr>
        <w:t xml:space="preserve"> 66 (2): 184-188.</w:t>
      </w:r>
    </w:p>
    <w:p w14:paraId="7D12FF32" w14:textId="77777777" w:rsidR="00540747" w:rsidRPr="00F13A0A" w:rsidRDefault="00540747" w:rsidP="007E5E2A">
      <w:pPr>
        <w:pStyle w:val="EndNoteBibliography"/>
        <w:spacing w:after="0" w:line="360" w:lineRule="auto"/>
        <w:ind w:left="720" w:hanging="720"/>
        <w:rPr>
          <w:rFonts w:ascii="Times New Roman" w:hAnsi="Times New Roman" w:cs="Times New Roman"/>
          <w:sz w:val="24"/>
          <w:szCs w:val="24"/>
        </w:rPr>
      </w:pPr>
      <w:r w:rsidRPr="00F13A0A">
        <w:rPr>
          <w:rFonts w:ascii="Times New Roman" w:hAnsi="Times New Roman" w:cs="Times New Roman"/>
          <w:sz w:val="24"/>
          <w:szCs w:val="24"/>
        </w:rPr>
        <w:t xml:space="preserve">Yesavage, J A, T L Brink, T L Rose, O Lum, V Huang, M Adey, and V O Leirer. 1982-1983. "Development and validation of a geriatric depression screening scale: a preliminary report." </w:t>
      </w:r>
      <w:r w:rsidRPr="00F13A0A">
        <w:rPr>
          <w:rFonts w:ascii="Times New Roman" w:hAnsi="Times New Roman" w:cs="Times New Roman"/>
          <w:i/>
          <w:sz w:val="24"/>
          <w:szCs w:val="24"/>
        </w:rPr>
        <w:t>J Psychiatr Res</w:t>
      </w:r>
      <w:r w:rsidRPr="00F13A0A">
        <w:rPr>
          <w:rFonts w:ascii="Times New Roman" w:hAnsi="Times New Roman" w:cs="Times New Roman"/>
          <w:sz w:val="24"/>
          <w:szCs w:val="24"/>
        </w:rPr>
        <w:t xml:space="preserve"> 17 (1): 37-49.</w:t>
      </w:r>
    </w:p>
    <w:p w14:paraId="2CFD76E5" w14:textId="74BC764B" w:rsidR="008D73AA" w:rsidRPr="00F13A0A" w:rsidRDefault="002332A2" w:rsidP="007E5E2A">
      <w:pPr>
        <w:pStyle w:val="EndNoteBibliography"/>
        <w:spacing w:after="0" w:line="360" w:lineRule="auto"/>
        <w:rPr>
          <w:rFonts w:ascii="Times New Roman" w:hAnsi="Times New Roman" w:cs="Times New Roman"/>
          <w:sz w:val="24"/>
          <w:szCs w:val="24"/>
        </w:rPr>
      </w:pPr>
      <w:r w:rsidRPr="00F13A0A">
        <w:rPr>
          <w:rFonts w:ascii="Times New Roman" w:hAnsi="Times New Roman" w:cs="Times New Roman"/>
          <w:sz w:val="24"/>
          <w:szCs w:val="24"/>
        </w:rPr>
        <w:fldChar w:fldCharType="end"/>
      </w:r>
    </w:p>
    <w:sectPr w:rsidR="008D73AA" w:rsidRPr="00F13A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93547"/>
    <w:multiLevelType w:val="hybridMultilevel"/>
    <w:tmpl w:val="D83040A8"/>
    <w:lvl w:ilvl="0" w:tplc="B8C4CF64">
      <w:start w:val="1"/>
      <w:numFmt w:val="lowerRoman"/>
      <w:lvlText w:val="%1)"/>
      <w:lvlJc w:val="left"/>
      <w:pPr>
        <w:ind w:left="1080" w:hanging="720"/>
      </w:pPr>
      <w:rPr>
        <w:rFonts w:hint="default"/>
        <w:b/>
        <w:bCs/>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7279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Chicago 17th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p9zxr0052950ep90vpp25lxwrpx0wtswvw&quot;&gt;Ainon&lt;record-ids&gt;&lt;item&gt;2&lt;/item&gt;&lt;item&gt;3&lt;/item&gt;&lt;item&gt;4&lt;/item&gt;&lt;item&gt;5&lt;/item&gt;&lt;item&gt;6&lt;/item&gt;&lt;item&gt;7&lt;/item&gt;&lt;item&gt;8&lt;/item&gt;&lt;item&gt;9&lt;/item&gt;&lt;item&gt;10&lt;/item&gt;&lt;item&gt;11&lt;/item&gt;&lt;item&gt;12&lt;/item&gt;&lt;item&gt;37&lt;/item&gt;&lt;item&gt;38&lt;/item&gt;&lt;/record-ids&gt;&lt;/item&gt;&lt;/Libraries&gt;"/>
  </w:docVars>
  <w:rsids>
    <w:rsidRoot w:val="002332A2"/>
    <w:rsid w:val="000F52FD"/>
    <w:rsid w:val="0018571E"/>
    <w:rsid w:val="002332A2"/>
    <w:rsid w:val="005046C5"/>
    <w:rsid w:val="00540747"/>
    <w:rsid w:val="00610303"/>
    <w:rsid w:val="0072668A"/>
    <w:rsid w:val="007E5E2A"/>
    <w:rsid w:val="008D73AA"/>
    <w:rsid w:val="009504C8"/>
    <w:rsid w:val="00AF0870"/>
    <w:rsid w:val="00B66FDD"/>
    <w:rsid w:val="00C05964"/>
    <w:rsid w:val="00F13A0A"/>
    <w:rsid w:val="00F74299"/>
    <w:rsid w:val="00FD600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7F60"/>
  <w15:chartTrackingRefBased/>
  <w15:docId w15:val="{49B68539-E80A-42CC-8520-5D475F45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2A2"/>
    <w:pPr>
      <w:spacing w:line="360" w:lineRule="auto"/>
      <w:jc w:val="both"/>
    </w:pPr>
    <w:rPr>
      <w:rFonts w:ascii="Calibri" w:eastAsia="MS Mincho" w:hAnsi="Calibri" w:cs="Times New Roman"/>
      <w:lang w:eastAsia="ja-JP"/>
    </w:rPr>
  </w:style>
  <w:style w:type="paragraph" w:styleId="Heading4">
    <w:name w:val="heading 4"/>
    <w:basedOn w:val="Normal"/>
    <w:next w:val="Normal"/>
    <w:link w:val="Heading4Char"/>
    <w:autoRedefine/>
    <w:uiPriority w:val="9"/>
    <w:unhideWhenUsed/>
    <w:qFormat/>
    <w:rsid w:val="00FD6008"/>
    <w:pPr>
      <w:keepNext/>
      <w:keepLines/>
      <w:spacing w:after="0" w:line="480" w:lineRule="auto"/>
      <w:contextualSpacing/>
      <w:jc w:val="left"/>
      <w:outlineLvl w:val="3"/>
    </w:pPr>
    <w:rPr>
      <w:rFonts w:ascii="Times New Roman" w:hAnsi="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D6008"/>
    <w:rPr>
      <w:rFonts w:ascii="Times New Roman" w:eastAsia="MS Mincho" w:hAnsi="Times New Roman" w:cs="Times New Roman"/>
      <w:b/>
      <w:bCs/>
      <w:iCs/>
      <w:sz w:val="24"/>
      <w:szCs w:val="24"/>
      <w:lang w:eastAsia="ja-JP"/>
    </w:rPr>
  </w:style>
  <w:style w:type="character" w:customStyle="1" w:styleId="apple-style-span">
    <w:name w:val="apple-style-span"/>
    <w:rsid w:val="002332A2"/>
    <w:rPr>
      <w:rFonts w:ascii="Times New Roman" w:hAnsi="Times New Roman" w:cs="Times New Roman" w:hint="default"/>
    </w:rPr>
  </w:style>
  <w:style w:type="paragraph" w:styleId="NoSpacing">
    <w:name w:val="No Spacing"/>
    <w:uiPriority w:val="1"/>
    <w:qFormat/>
    <w:rsid w:val="002332A2"/>
    <w:pPr>
      <w:spacing w:after="0" w:line="240" w:lineRule="auto"/>
    </w:pPr>
    <w:rPr>
      <w:rFonts w:ascii="Calibri" w:eastAsia="MS Mincho" w:hAnsi="Calibri" w:cs="Times New Roman"/>
      <w:lang w:eastAsia="ja-JP"/>
    </w:rPr>
  </w:style>
  <w:style w:type="paragraph" w:customStyle="1" w:styleId="NormalUiTMParagraph1">
    <w:name w:val="Normal UiTM Paragraph 1"/>
    <w:basedOn w:val="Normal"/>
    <w:link w:val="NormalUiTMParagraph1Char"/>
    <w:autoRedefine/>
    <w:uiPriority w:val="9"/>
    <w:qFormat/>
    <w:rsid w:val="002332A2"/>
    <w:pPr>
      <w:widowControl w:val="0"/>
      <w:spacing w:after="0"/>
    </w:pPr>
    <w:rPr>
      <w:rFonts w:ascii="Times New Roman" w:eastAsiaTheme="minorHAnsi" w:hAnsi="Times New Roman"/>
      <w:bCs/>
      <w:sz w:val="24"/>
      <w:szCs w:val="24"/>
      <w:lang w:eastAsia="en-US"/>
    </w:rPr>
  </w:style>
  <w:style w:type="character" w:customStyle="1" w:styleId="NormalUiTMParagraph1Char">
    <w:name w:val="Normal UiTM Paragraph 1 Char"/>
    <w:basedOn w:val="DefaultParagraphFont"/>
    <w:link w:val="NormalUiTMParagraph1"/>
    <w:uiPriority w:val="9"/>
    <w:rsid w:val="002332A2"/>
    <w:rPr>
      <w:rFonts w:ascii="Times New Roman" w:eastAsiaTheme="minorHAnsi" w:hAnsi="Times New Roman" w:cs="Times New Roman"/>
      <w:bCs/>
      <w:sz w:val="24"/>
      <w:szCs w:val="24"/>
      <w:lang w:eastAsia="en-US"/>
    </w:rPr>
  </w:style>
  <w:style w:type="paragraph" w:customStyle="1" w:styleId="EndNoteBibliographyTitle">
    <w:name w:val="EndNote Bibliography Title"/>
    <w:basedOn w:val="Normal"/>
    <w:link w:val="EndNoteBibliographyTitleChar"/>
    <w:rsid w:val="002332A2"/>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332A2"/>
    <w:rPr>
      <w:rFonts w:ascii="Calibri" w:eastAsia="MS Mincho" w:hAnsi="Calibri" w:cs="Calibri"/>
      <w:noProof/>
      <w:lang w:eastAsia="ja-JP"/>
    </w:rPr>
  </w:style>
  <w:style w:type="paragraph" w:customStyle="1" w:styleId="EndNoteBibliography">
    <w:name w:val="EndNote Bibliography"/>
    <w:basedOn w:val="Normal"/>
    <w:link w:val="EndNoteBibliographyChar"/>
    <w:rsid w:val="002332A2"/>
    <w:pPr>
      <w:spacing w:line="240" w:lineRule="auto"/>
    </w:pPr>
    <w:rPr>
      <w:rFonts w:cs="Calibri"/>
      <w:noProof/>
    </w:rPr>
  </w:style>
  <w:style w:type="character" w:customStyle="1" w:styleId="EndNoteBibliographyChar">
    <w:name w:val="EndNote Bibliography Char"/>
    <w:basedOn w:val="DefaultParagraphFont"/>
    <w:link w:val="EndNoteBibliography"/>
    <w:rsid w:val="002332A2"/>
    <w:rPr>
      <w:rFonts w:ascii="Calibri" w:eastAsia="MS Mincho" w:hAnsi="Calibri" w:cs="Calibri"/>
      <w:noProof/>
      <w:lang w:eastAsia="ja-JP"/>
    </w:rPr>
  </w:style>
  <w:style w:type="paragraph" w:styleId="ListParagraph">
    <w:name w:val="List Paragraph"/>
    <w:basedOn w:val="Normal"/>
    <w:uiPriority w:val="34"/>
    <w:qFormat/>
    <w:rsid w:val="00AF0870"/>
    <w:pPr>
      <w:ind w:left="720"/>
      <w:contextualSpacing/>
    </w:pPr>
  </w:style>
  <w:style w:type="character" w:styleId="Hyperlink">
    <w:name w:val="Hyperlink"/>
    <w:basedOn w:val="DefaultParagraphFont"/>
    <w:uiPriority w:val="99"/>
    <w:unhideWhenUsed/>
    <w:rsid w:val="00540747"/>
    <w:rPr>
      <w:color w:val="0563C1" w:themeColor="hyperlink"/>
      <w:u w:val="single"/>
    </w:rPr>
  </w:style>
  <w:style w:type="character" w:styleId="UnresolvedMention">
    <w:name w:val="Unresolved Mention"/>
    <w:basedOn w:val="DefaultParagraphFont"/>
    <w:uiPriority w:val="99"/>
    <w:semiHidden/>
    <w:unhideWhenUsed/>
    <w:rsid w:val="00540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07454.2020.1860038" TargetMode="External"/><Relationship Id="rId3" Type="http://schemas.openxmlformats.org/officeDocument/2006/relationships/settings" Target="settings.xml"/><Relationship Id="rId7" Type="http://schemas.openxmlformats.org/officeDocument/2006/relationships/hyperlink" Target="https://doi.org/10.1093/nar/29.9.e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https://doi.org/10.1111/ggi.12783" TargetMode="External"/><Relationship Id="rId5" Type="http://schemas.openxmlformats.org/officeDocument/2006/relationships/hyperlink" Target="https://doi.org/https://doi.org/10.1111/j.1365-2125.2004.02103.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3807</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LAM XIN JIEH</cp:lastModifiedBy>
  <cp:revision>3</cp:revision>
  <dcterms:created xsi:type="dcterms:W3CDTF">2023-06-02T06:05:00Z</dcterms:created>
  <dcterms:modified xsi:type="dcterms:W3CDTF">2023-12-24T08:53:00Z</dcterms:modified>
</cp:coreProperties>
</file>